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F21" w:rsidRPr="004B6F21" w:rsidRDefault="004B6F21" w:rsidP="004B6F21">
      <w:pPr>
        <w:suppressAutoHyphens/>
        <w:spacing w:after="140" w:line="276" w:lineRule="auto"/>
        <w:ind w:left="5685"/>
        <w:rPr>
          <w:rFonts w:ascii="Times New Roman" w:eastAsia="Calibri" w:hAnsi="Times New Roman" w:cs="Times New Roman"/>
          <w:sz w:val="24"/>
          <w:szCs w:val="24"/>
          <w:lang w:val="es-AR"/>
        </w:rPr>
      </w:pPr>
      <w:r w:rsidRPr="004B6F21">
        <w:rPr>
          <w:rFonts w:ascii="Times New Roman" w:eastAsia="Calibri" w:hAnsi="Times New Roman" w:cs="Times New Roman"/>
          <w:sz w:val="24"/>
          <w:szCs w:val="24"/>
          <w:lang w:val="es-AR"/>
        </w:rPr>
        <w:t>Neuquén,</w:t>
      </w:r>
      <w:r w:rsidRPr="00B75550">
        <w:rPr>
          <w:rFonts w:ascii="Times New Roman" w:eastAsia="Calibri" w:hAnsi="Times New Roman" w:cs="Times New Roman"/>
          <w:spacing w:val="-4"/>
          <w:sz w:val="24"/>
          <w:szCs w:val="24"/>
          <w:lang w:val="es-AR"/>
        </w:rPr>
        <w:t xml:space="preserve"> 13</w:t>
      </w:r>
      <w:r w:rsidRPr="004B6F21">
        <w:rPr>
          <w:rFonts w:ascii="Times New Roman" w:eastAsia="Calibri" w:hAnsi="Times New Roman" w:cs="Times New Roman"/>
          <w:spacing w:val="-4"/>
          <w:sz w:val="24"/>
          <w:szCs w:val="24"/>
          <w:lang w:val="es-AR"/>
        </w:rPr>
        <w:t xml:space="preserve"> </w:t>
      </w:r>
      <w:r w:rsidRPr="004B6F21">
        <w:rPr>
          <w:rFonts w:ascii="Times New Roman" w:eastAsia="Calibri" w:hAnsi="Times New Roman" w:cs="Times New Roman"/>
          <w:sz w:val="24"/>
          <w:szCs w:val="24"/>
          <w:lang w:val="es-AR"/>
        </w:rPr>
        <w:t>de</w:t>
      </w:r>
      <w:r w:rsidRPr="004B6F21">
        <w:rPr>
          <w:rFonts w:ascii="Times New Roman" w:eastAsia="Calibri" w:hAnsi="Times New Roman" w:cs="Times New Roman"/>
          <w:spacing w:val="-4"/>
          <w:sz w:val="24"/>
          <w:szCs w:val="24"/>
          <w:lang w:val="es-AR"/>
        </w:rPr>
        <w:t xml:space="preserve"> </w:t>
      </w:r>
      <w:r w:rsidRPr="00B75550">
        <w:rPr>
          <w:rFonts w:ascii="Times New Roman" w:eastAsia="Calibri" w:hAnsi="Times New Roman" w:cs="Times New Roman"/>
          <w:spacing w:val="-4"/>
          <w:sz w:val="24"/>
          <w:szCs w:val="24"/>
          <w:lang w:val="es-AR"/>
        </w:rPr>
        <w:t>mayo</w:t>
      </w:r>
      <w:r w:rsidRPr="004B6F21">
        <w:rPr>
          <w:rFonts w:ascii="Times New Roman" w:eastAsia="Calibri" w:hAnsi="Times New Roman" w:cs="Times New Roman"/>
          <w:spacing w:val="-4"/>
          <w:sz w:val="24"/>
          <w:szCs w:val="24"/>
          <w:lang w:val="es-AR"/>
        </w:rPr>
        <w:t xml:space="preserve"> </w:t>
      </w:r>
      <w:r w:rsidRPr="004B6F21">
        <w:rPr>
          <w:rFonts w:ascii="Times New Roman" w:eastAsia="Calibri" w:hAnsi="Times New Roman" w:cs="Times New Roman"/>
          <w:sz w:val="24"/>
          <w:szCs w:val="24"/>
          <w:lang w:val="es-AR"/>
        </w:rPr>
        <w:t>de</w:t>
      </w:r>
      <w:r w:rsidRPr="004B6F21">
        <w:rPr>
          <w:rFonts w:ascii="Times New Roman" w:eastAsia="Calibri" w:hAnsi="Times New Roman" w:cs="Times New Roman"/>
          <w:spacing w:val="-3"/>
          <w:sz w:val="24"/>
          <w:szCs w:val="24"/>
          <w:lang w:val="es-AR"/>
        </w:rPr>
        <w:t xml:space="preserve"> </w:t>
      </w:r>
      <w:r w:rsidRPr="004B6F21">
        <w:rPr>
          <w:rFonts w:ascii="Times New Roman" w:eastAsia="Calibri" w:hAnsi="Times New Roman" w:cs="Times New Roman"/>
          <w:spacing w:val="-4"/>
          <w:sz w:val="24"/>
          <w:szCs w:val="24"/>
          <w:lang w:val="es-AR"/>
        </w:rPr>
        <w:t>2026.</w:t>
      </w:r>
    </w:p>
    <w:p w:rsidR="004B6F21" w:rsidRPr="004B6F21" w:rsidRDefault="004B6F21" w:rsidP="004B6F21">
      <w:pPr>
        <w:widowControl w:val="0"/>
        <w:autoSpaceDE w:val="0"/>
        <w:autoSpaceDN w:val="0"/>
        <w:spacing w:after="0" w:line="240" w:lineRule="auto"/>
        <w:ind w:left="3" w:right="3037"/>
        <w:outlineLvl w:val="0"/>
        <w:rPr>
          <w:rFonts w:ascii="Times New Roman" w:eastAsia="Arial" w:hAnsi="Times New Roman" w:cs="Times New Roman"/>
          <w:b/>
          <w:bCs/>
          <w:sz w:val="24"/>
          <w:szCs w:val="24"/>
          <w:lang w:val="es-ES"/>
        </w:rPr>
      </w:pPr>
    </w:p>
    <w:p w:rsidR="004B6F21" w:rsidRPr="004B6F21" w:rsidRDefault="004B6F21" w:rsidP="00B96770">
      <w:pPr>
        <w:widowControl w:val="0"/>
        <w:autoSpaceDE w:val="0"/>
        <w:autoSpaceDN w:val="0"/>
        <w:spacing w:after="0" w:line="240" w:lineRule="auto"/>
        <w:ind w:left="3" w:right="3037"/>
        <w:outlineLvl w:val="0"/>
        <w:rPr>
          <w:rFonts w:ascii="Times New Roman" w:eastAsia="Arial" w:hAnsi="Times New Roman" w:cs="Times New Roman"/>
          <w:b/>
          <w:bCs/>
          <w:spacing w:val="-6"/>
          <w:sz w:val="24"/>
          <w:szCs w:val="24"/>
          <w:lang w:val="es-ES"/>
        </w:rPr>
      </w:pPr>
      <w:r w:rsidRPr="004B6F21">
        <w:rPr>
          <w:rFonts w:ascii="Times New Roman" w:eastAsia="Arial" w:hAnsi="Times New Roman" w:cs="Times New Roman"/>
          <w:b/>
          <w:bCs/>
          <w:sz w:val="24"/>
          <w:szCs w:val="24"/>
          <w:lang w:val="es-ES"/>
        </w:rPr>
        <w:t>Señora</w:t>
      </w:r>
      <w:r w:rsidRPr="004B6F21">
        <w:rPr>
          <w:rFonts w:ascii="Times New Roman" w:eastAsia="Arial" w:hAnsi="Times New Roman" w:cs="Times New Roman"/>
          <w:b/>
          <w:bCs/>
          <w:spacing w:val="-6"/>
          <w:sz w:val="24"/>
          <w:szCs w:val="24"/>
          <w:lang w:val="es-ES"/>
        </w:rPr>
        <w:t xml:space="preserve"> </w:t>
      </w:r>
      <w:r w:rsidRPr="004B6F21">
        <w:rPr>
          <w:rFonts w:ascii="Times New Roman" w:eastAsia="Arial" w:hAnsi="Times New Roman" w:cs="Times New Roman"/>
          <w:b/>
          <w:bCs/>
          <w:sz w:val="24"/>
          <w:szCs w:val="24"/>
          <w:lang w:val="es-ES"/>
        </w:rPr>
        <w:t>Vicepresidenta</w:t>
      </w:r>
      <w:r w:rsidRPr="004B6F21">
        <w:rPr>
          <w:rFonts w:ascii="Times New Roman" w:eastAsia="Arial" w:hAnsi="Times New Roman" w:cs="Times New Roman"/>
          <w:b/>
          <w:bCs/>
          <w:spacing w:val="-7"/>
          <w:sz w:val="24"/>
          <w:szCs w:val="24"/>
          <w:lang w:val="es-ES"/>
        </w:rPr>
        <w:t xml:space="preserve"> </w:t>
      </w:r>
      <w:r w:rsidRPr="004B6F21">
        <w:rPr>
          <w:rFonts w:ascii="Times New Roman" w:eastAsia="Arial" w:hAnsi="Times New Roman" w:cs="Times New Roman"/>
          <w:b/>
          <w:bCs/>
          <w:sz w:val="24"/>
          <w:szCs w:val="24"/>
          <w:lang w:val="es-ES"/>
        </w:rPr>
        <w:t>1ra</w:t>
      </w:r>
      <w:r w:rsidRPr="004B6F21">
        <w:rPr>
          <w:rFonts w:ascii="Times New Roman" w:eastAsia="Arial" w:hAnsi="Times New Roman" w:cs="Times New Roman"/>
          <w:b/>
          <w:bCs/>
          <w:spacing w:val="-6"/>
          <w:sz w:val="24"/>
          <w:szCs w:val="24"/>
          <w:lang w:val="es-ES"/>
        </w:rPr>
        <w:t xml:space="preserve"> </w:t>
      </w:r>
      <w:r w:rsidRPr="004B6F21">
        <w:rPr>
          <w:rFonts w:ascii="Times New Roman" w:eastAsia="Arial" w:hAnsi="Times New Roman" w:cs="Times New Roman"/>
          <w:b/>
          <w:bCs/>
          <w:sz w:val="24"/>
          <w:szCs w:val="24"/>
          <w:lang w:val="es-ES"/>
        </w:rPr>
        <w:t>a</w:t>
      </w:r>
      <w:r w:rsidRPr="004B6F21">
        <w:rPr>
          <w:rFonts w:ascii="Times New Roman" w:eastAsia="Arial" w:hAnsi="Times New Roman" w:cs="Times New Roman"/>
          <w:b/>
          <w:bCs/>
          <w:spacing w:val="-7"/>
          <w:sz w:val="24"/>
          <w:szCs w:val="24"/>
          <w:lang w:val="es-ES"/>
        </w:rPr>
        <w:t xml:space="preserve"> </w:t>
      </w:r>
      <w:r w:rsidRPr="004B6F21">
        <w:rPr>
          <w:rFonts w:ascii="Times New Roman" w:eastAsia="Arial" w:hAnsi="Times New Roman" w:cs="Times New Roman"/>
          <w:b/>
          <w:bCs/>
          <w:sz w:val="24"/>
          <w:szCs w:val="24"/>
          <w:lang w:val="es-ES"/>
        </w:rPr>
        <w:t>cargo</w:t>
      </w:r>
      <w:r w:rsidRPr="004B6F21">
        <w:rPr>
          <w:rFonts w:ascii="Times New Roman" w:eastAsia="Arial" w:hAnsi="Times New Roman" w:cs="Times New Roman"/>
          <w:b/>
          <w:bCs/>
          <w:spacing w:val="-6"/>
          <w:sz w:val="24"/>
          <w:szCs w:val="24"/>
          <w:lang w:val="es-ES"/>
        </w:rPr>
        <w:t xml:space="preserve"> </w:t>
      </w:r>
      <w:r w:rsidRPr="004B6F21">
        <w:rPr>
          <w:rFonts w:ascii="Times New Roman" w:eastAsia="Arial" w:hAnsi="Times New Roman" w:cs="Times New Roman"/>
          <w:b/>
          <w:bCs/>
          <w:sz w:val="24"/>
          <w:szCs w:val="24"/>
          <w:lang w:val="es-ES"/>
        </w:rPr>
        <w:t>de</w:t>
      </w:r>
      <w:r w:rsidRPr="004B6F21">
        <w:rPr>
          <w:rFonts w:ascii="Times New Roman" w:eastAsia="Arial" w:hAnsi="Times New Roman" w:cs="Times New Roman"/>
          <w:b/>
          <w:bCs/>
          <w:spacing w:val="-7"/>
          <w:sz w:val="24"/>
          <w:szCs w:val="24"/>
          <w:lang w:val="es-ES"/>
        </w:rPr>
        <w:t xml:space="preserve"> </w:t>
      </w:r>
      <w:r w:rsidRPr="004B6F21">
        <w:rPr>
          <w:rFonts w:ascii="Times New Roman" w:eastAsia="Arial" w:hAnsi="Times New Roman" w:cs="Times New Roman"/>
          <w:b/>
          <w:bCs/>
          <w:sz w:val="24"/>
          <w:szCs w:val="24"/>
          <w:lang w:val="es-ES"/>
        </w:rPr>
        <w:t>la</w:t>
      </w:r>
      <w:r w:rsidRPr="004B6F21">
        <w:rPr>
          <w:rFonts w:ascii="Times New Roman" w:eastAsia="Arial" w:hAnsi="Times New Roman" w:cs="Times New Roman"/>
          <w:b/>
          <w:bCs/>
          <w:spacing w:val="-6"/>
          <w:sz w:val="24"/>
          <w:szCs w:val="24"/>
          <w:lang w:val="es-ES"/>
        </w:rPr>
        <w:t xml:space="preserve"> </w:t>
      </w:r>
    </w:p>
    <w:p w:rsidR="004B6F21" w:rsidRPr="004B6F21" w:rsidRDefault="004B6F21" w:rsidP="00B96770">
      <w:pPr>
        <w:widowControl w:val="0"/>
        <w:autoSpaceDE w:val="0"/>
        <w:autoSpaceDN w:val="0"/>
        <w:spacing w:after="0" w:line="240" w:lineRule="auto"/>
        <w:ind w:left="3" w:right="3037"/>
        <w:outlineLvl w:val="0"/>
        <w:rPr>
          <w:rFonts w:ascii="Times New Roman" w:eastAsia="Arial" w:hAnsi="Times New Roman" w:cs="Times New Roman"/>
          <w:b/>
          <w:bCs/>
          <w:sz w:val="24"/>
          <w:szCs w:val="24"/>
          <w:lang w:val="es-ES"/>
        </w:rPr>
      </w:pPr>
      <w:r w:rsidRPr="004B6F21">
        <w:rPr>
          <w:rFonts w:ascii="Times New Roman" w:eastAsia="Arial" w:hAnsi="Times New Roman" w:cs="Times New Roman"/>
          <w:b/>
          <w:bCs/>
          <w:sz w:val="24"/>
          <w:szCs w:val="24"/>
          <w:lang w:val="es-ES"/>
        </w:rPr>
        <w:t xml:space="preserve">Presidencia de la </w:t>
      </w:r>
    </w:p>
    <w:p w:rsidR="004B6F21" w:rsidRPr="004B6F21" w:rsidRDefault="004B6F21" w:rsidP="00B96770">
      <w:pPr>
        <w:widowControl w:val="0"/>
        <w:autoSpaceDE w:val="0"/>
        <w:autoSpaceDN w:val="0"/>
        <w:spacing w:after="0" w:line="240" w:lineRule="auto"/>
        <w:ind w:left="3" w:right="3037"/>
        <w:outlineLvl w:val="0"/>
        <w:rPr>
          <w:rFonts w:ascii="Times New Roman" w:eastAsia="Arial" w:hAnsi="Times New Roman" w:cs="Times New Roman"/>
          <w:b/>
          <w:bCs/>
          <w:sz w:val="24"/>
          <w:szCs w:val="24"/>
          <w:lang w:val="es-ES"/>
        </w:rPr>
      </w:pPr>
      <w:r w:rsidRPr="004B6F21">
        <w:rPr>
          <w:rFonts w:ascii="Times New Roman" w:eastAsia="Arial" w:hAnsi="Times New Roman" w:cs="Times New Roman"/>
          <w:b/>
          <w:bCs/>
          <w:sz w:val="24"/>
          <w:szCs w:val="24"/>
          <w:lang w:val="es-ES"/>
        </w:rPr>
        <w:t>HONORABLE LEGISLATURA DEL NEUQUÉN</w:t>
      </w:r>
    </w:p>
    <w:p w:rsidR="004B6F21" w:rsidRPr="00B75550" w:rsidRDefault="004B6F21" w:rsidP="00B96770">
      <w:pPr>
        <w:tabs>
          <w:tab w:val="left" w:pos="1159"/>
          <w:tab w:val="left" w:pos="2223"/>
        </w:tabs>
        <w:suppressAutoHyphens/>
        <w:spacing w:after="0" w:line="240" w:lineRule="auto"/>
        <w:ind w:left="3" w:right="6769"/>
        <w:rPr>
          <w:rFonts w:ascii="Times New Roman" w:eastAsia="Calibri" w:hAnsi="Times New Roman" w:cs="Times New Roman"/>
          <w:b/>
          <w:sz w:val="24"/>
          <w:szCs w:val="24"/>
          <w:lang w:val="es-AR"/>
        </w:rPr>
      </w:pPr>
      <w:r w:rsidRPr="004B6F21">
        <w:rPr>
          <w:rFonts w:ascii="Times New Roman" w:eastAsia="Calibri" w:hAnsi="Times New Roman" w:cs="Times New Roman"/>
          <w:b/>
          <w:sz w:val="24"/>
          <w:szCs w:val="24"/>
          <w:lang w:val="es-AR"/>
        </w:rPr>
        <w:t>Zulma</w:t>
      </w:r>
      <w:r w:rsidRPr="004B6F21">
        <w:rPr>
          <w:rFonts w:ascii="Times New Roman" w:eastAsia="Calibri" w:hAnsi="Times New Roman" w:cs="Times New Roman"/>
          <w:b/>
          <w:spacing w:val="-17"/>
          <w:sz w:val="24"/>
          <w:szCs w:val="24"/>
          <w:lang w:val="es-AR"/>
        </w:rPr>
        <w:t xml:space="preserve"> </w:t>
      </w:r>
      <w:r w:rsidR="00B96770" w:rsidRPr="00B75550">
        <w:rPr>
          <w:rFonts w:ascii="Times New Roman" w:eastAsia="Calibri" w:hAnsi="Times New Roman" w:cs="Times New Roman"/>
          <w:b/>
          <w:sz w:val="24"/>
          <w:szCs w:val="24"/>
          <w:lang w:val="es-AR"/>
        </w:rPr>
        <w:t>Reina</w:t>
      </w:r>
    </w:p>
    <w:p w:rsidR="00B96770" w:rsidRPr="00B75550" w:rsidRDefault="00B96770" w:rsidP="00B96770">
      <w:pPr>
        <w:tabs>
          <w:tab w:val="left" w:pos="1159"/>
          <w:tab w:val="left" w:pos="2223"/>
        </w:tabs>
        <w:suppressAutoHyphens/>
        <w:spacing w:after="0" w:line="240" w:lineRule="auto"/>
        <w:ind w:left="3" w:right="6769"/>
        <w:rPr>
          <w:rFonts w:ascii="Times New Roman" w:eastAsia="Calibri" w:hAnsi="Times New Roman" w:cs="Times New Roman"/>
          <w:b/>
          <w:sz w:val="24"/>
          <w:szCs w:val="24"/>
          <w:lang w:val="es-AR"/>
        </w:rPr>
      </w:pPr>
      <w:r w:rsidRPr="00B75550">
        <w:rPr>
          <w:rFonts w:ascii="Times New Roman" w:eastAsia="Calibri" w:hAnsi="Times New Roman" w:cs="Times New Roman"/>
          <w:b/>
          <w:sz w:val="24"/>
          <w:szCs w:val="24"/>
          <w:lang w:val="es-AR"/>
        </w:rPr>
        <w:t>S_____/______D</w:t>
      </w:r>
    </w:p>
    <w:p w:rsidR="00B96770" w:rsidRPr="00B75550" w:rsidRDefault="00B96770" w:rsidP="00B96770">
      <w:pPr>
        <w:tabs>
          <w:tab w:val="left" w:pos="1159"/>
          <w:tab w:val="left" w:pos="2223"/>
        </w:tabs>
        <w:suppressAutoHyphens/>
        <w:spacing w:after="200" w:line="240" w:lineRule="auto"/>
        <w:ind w:left="3" w:right="6769"/>
        <w:rPr>
          <w:rFonts w:ascii="Times New Roman" w:eastAsia="Calibri" w:hAnsi="Times New Roman" w:cs="Times New Roman"/>
          <w:b/>
          <w:sz w:val="24"/>
          <w:szCs w:val="24"/>
          <w:lang w:val="es-AR"/>
        </w:rPr>
      </w:pPr>
    </w:p>
    <w:p w:rsidR="00B96770" w:rsidRPr="004B6F21" w:rsidRDefault="00B96770" w:rsidP="004B6F21">
      <w:pPr>
        <w:tabs>
          <w:tab w:val="left" w:pos="1159"/>
          <w:tab w:val="left" w:pos="2223"/>
        </w:tabs>
        <w:suppressAutoHyphens/>
        <w:spacing w:after="200" w:line="276" w:lineRule="auto"/>
        <w:ind w:left="3" w:right="6769"/>
        <w:rPr>
          <w:rFonts w:ascii="Tahoma" w:eastAsia="Calibri" w:hAnsi="Tahoma" w:cs="Tahoma"/>
          <w:b/>
          <w:sz w:val="24"/>
          <w:szCs w:val="24"/>
          <w:lang w:val="es-AR"/>
        </w:rPr>
      </w:pPr>
    </w:p>
    <w:p w:rsidR="004B6F21" w:rsidRPr="004B6F21" w:rsidRDefault="004B6F21" w:rsidP="004B6F21">
      <w:pPr>
        <w:suppressAutoHyphens/>
        <w:spacing w:after="140" w:line="276" w:lineRule="auto"/>
        <w:rPr>
          <w:rFonts w:ascii="Times New Roman" w:eastAsia="Calibri" w:hAnsi="Times New Roman" w:cs="Times New Roman"/>
          <w:sz w:val="24"/>
          <w:szCs w:val="24"/>
          <w:lang w:val="es-AR"/>
        </w:rPr>
      </w:pPr>
      <w:r w:rsidRPr="004B6F21">
        <w:rPr>
          <w:rFonts w:ascii="Times New Roman" w:eastAsia="Calibri" w:hAnsi="Times New Roman" w:cs="Times New Roman"/>
          <w:sz w:val="24"/>
          <w:szCs w:val="24"/>
          <w:lang w:val="es-AR"/>
        </w:rPr>
        <w:t>De</w:t>
      </w:r>
      <w:r w:rsidRPr="004B6F21">
        <w:rPr>
          <w:rFonts w:ascii="Times New Roman" w:eastAsia="Calibri" w:hAnsi="Times New Roman" w:cs="Times New Roman"/>
          <w:spacing w:val="-2"/>
          <w:sz w:val="24"/>
          <w:szCs w:val="24"/>
          <w:lang w:val="es-AR"/>
        </w:rPr>
        <w:t xml:space="preserve"> </w:t>
      </w:r>
      <w:r w:rsidR="00B96770" w:rsidRPr="00B75550">
        <w:rPr>
          <w:rFonts w:ascii="Times New Roman" w:eastAsia="Calibri" w:hAnsi="Times New Roman" w:cs="Times New Roman"/>
          <w:spacing w:val="-2"/>
          <w:sz w:val="24"/>
          <w:szCs w:val="24"/>
          <w:lang w:val="es-AR"/>
        </w:rPr>
        <w:t>nuestra</w:t>
      </w:r>
      <w:r w:rsidRPr="004B6F21">
        <w:rPr>
          <w:rFonts w:ascii="Times New Roman" w:eastAsia="Calibri" w:hAnsi="Times New Roman" w:cs="Times New Roman"/>
          <w:spacing w:val="-2"/>
          <w:sz w:val="24"/>
          <w:szCs w:val="24"/>
          <w:lang w:val="es-AR"/>
        </w:rPr>
        <w:t xml:space="preserve"> </w:t>
      </w:r>
      <w:r w:rsidRPr="004B6F21">
        <w:rPr>
          <w:rFonts w:ascii="Times New Roman" w:eastAsia="Calibri" w:hAnsi="Times New Roman" w:cs="Times New Roman"/>
          <w:sz w:val="24"/>
          <w:szCs w:val="24"/>
          <w:lang w:val="es-AR"/>
        </w:rPr>
        <w:t>mayor</w:t>
      </w:r>
      <w:r w:rsidRPr="004B6F21">
        <w:rPr>
          <w:rFonts w:ascii="Times New Roman" w:eastAsia="Calibri" w:hAnsi="Times New Roman" w:cs="Times New Roman"/>
          <w:spacing w:val="-1"/>
          <w:sz w:val="24"/>
          <w:szCs w:val="24"/>
          <w:lang w:val="es-AR"/>
        </w:rPr>
        <w:t xml:space="preserve"> </w:t>
      </w:r>
      <w:r w:rsidRPr="004B6F21">
        <w:rPr>
          <w:rFonts w:ascii="Times New Roman" w:eastAsia="Calibri" w:hAnsi="Times New Roman" w:cs="Times New Roman"/>
          <w:spacing w:val="-2"/>
          <w:sz w:val="24"/>
          <w:szCs w:val="24"/>
          <w:lang w:val="es-AR"/>
        </w:rPr>
        <w:t>consideración:</w:t>
      </w:r>
    </w:p>
    <w:p w:rsidR="004B6F21" w:rsidRPr="004B6F21" w:rsidRDefault="004B6F21" w:rsidP="00B96770">
      <w:pPr>
        <w:suppressAutoHyphens/>
        <w:spacing w:after="140" w:line="276" w:lineRule="auto"/>
        <w:jc w:val="both"/>
        <w:rPr>
          <w:rFonts w:ascii="Times New Roman" w:eastAsia="Calibri" w:hAnsi="Times New Roman" w:cs="Times New Roman"/>
          <w:sz w:val="24"/>
          <w:szCs w:val="24"/>
          <w:lang w:val="es-AR"/>
        </w:rPr>
      </w:pPr>
    </w:p>
    <w:p w:rsidR="004B6F21" w:rsidRPr="004B6F21" w:rsidRDefault="00B96770" w:rsidP="00B96770">
      <w:pPr>
        <w:suppressAutoHyphens/>
        <w:spacing w:after="140" w:line="276" w:lineRule="auto"/>
        <w:ind w:right="149" w:firstLine="2655"/>
        <w:jc w:val="both"/>
        <w:rPr>
          <w:rFonts w:ascii="Times New Roman" w:eastAsia="Calibri" w:hAnsi="Times New Roman" w:cs="Times New Roman"/>
          <w:sz w:val="24"/>
          <w:szCs w:val="24"/>
          <w:lang w:val="es-AR"/>
        </w:rPr>
      </w:pPr>
      <w:r w:rsidRPr="00B75550">
        <w:rPr>
          <w:rFonts w:ascii="Times New Roman" w:eastAsia="Calibri" w:hAnsi="Times New Roman" w:cs="Times New Roman"/>
          <w:sz w:val="24"/>
          <w:szCs w:val="24"/>
          <w:lang w:val="es-AR"/>
        </w:rPr>
        <w:t>Tenem</w:t>
      </w:r>
      <w:r w:rsidR="004B6F21" w:rsidRPr="004B6F21">
        <w:rPr>
          <w:rFonts w:ascii="Times New Roman" w:eastAsia="Calibri" w:hAnsi="Times New Roman" w:cs="Times New Roman"/>
          <w:sz w:val="24"/>
          <w:szCs w:val="24"/>
          <w:lang w:val="es-AR"/>
        </w:rPr>
        <w:t>o</w:t>
      </w:r>
      <w:r w:rsidRPr="00B75550">
        <w:rPr>
          <w:rFonts w:ascii="Times New Roman" w:eastAsia="Calibri" w:hAnsi="Times New Roman" w:cs="Times New Roman"/>
          <w:sz w:val="24"/>
          <w:szCs w:val="24"/>
          <w:lang w:val="es-AR"/>
        </w:rPr>
        <w:t>s el agrado de dirigirnos</w:t>
      </w:r>
      <w:r w:rsidR="004B6F21" w:rsidRPr="004B6F21">
        <w:rPr>
          <w:rFonts w:ascii="Times New Roman" w:eastAsia="Calibri" w:hAnsi="Times New Roman" w:cs="Times New Roman"/>
          <w:sz w:val="24"/>
          <w:szCs w:val="24"/>
          <w:lang w:val="es-AR"/>
        </w:rPr>
        <w:t xml:space="preserve"> a Usted -y por su intermedio a los señores Diputados Provinciales que conforman los distintos bloques políticos de la Honorable Legislatura del Neuquén- a efectos de presentar para su tratamiento, el presente proyecto de Ley.</w:t>
      </w:r>
    </w:p>
    <w:p w:rsidR="004B6F21" w:rsidRPr="00B75550" w:rsidRDefault="00B96770" w:rsidP="00B96770">
      <w:pPr>
        <w:spacing w:after="0" w:line="276" w:lineRule="auto"/>
        <w:jc w:val="both"/>
        <w:rPr>
          <w:rFonts w:ascii="Times New Roman" w:eastAsia="Calibri" w:hAnsi="Times New Roman" w:cs="Times New Roman"/>
          <w:sz w:val="24"/>
          <w:szCs w:val="24"/>
          <w:lang w:val="es-AR"/>
        </w:rPr>
      </w:pPr>
      <w:r w:rsidRPr="00B75550">
        <w:rPr>
          <w:rFonts w:ascii="Times New Roman" w:eastAsia="Calibri" w:hAnsi="Times New Roman" w:cs="Times New Roman"/>
          <w:sz w:val="24"/>
          <w:szCs w:val="24"/>
          <w:lang w:val="es-AR"/>
        </w:rPr>
        <w:tab/>
      </w:r>
      <w:r w:rsidRPr="00B75550">
        <w:rPr>
          <w:rFonts w:ascii="Times New Roman" w:eastAsia="Calibri" w:hAnsi="Times New Roman" w:cs="Times New Roman"/>
          <w:sz w:val="24"/>
          <w:szCs w:val="24"/>
          <w:lang w:val="es-AR"/>
        </w:rPr>
        <w:tab/>
      </w:r>
      <w:r w:rsidRPr="00B75550">
        <w:rPr>
          <w:rFonts w:ascii="Times New Roman" w:eastAsia="Calibri" w:hAnsi="Times New Roman" w:cs="Times New Roman"/>
          <w:sz w:val="24"/>
          <w:szCs w:val="24"/>
          <w:lang w:val="es-AR"/>
        </w:rPr>
        <w:tab/>
        <w:t xml:space="preserve">       </w:t>
      </w:r>
      <w:r w:rsidR="004B6F21" w:rsidRPr="00B75550">
        <w:rPr>
          <w:rFonts w:ascii="Times New Roman" w:eastAsia="Calibri" w:hAnsi="Times New Roman" w:cs="Times New Roman"/>
          <w:sz w:val="24"/>
          <w:szCs w:val="24"/>
          <w:lang w:val="es-AR"/>
        </w:rPr>
        <w:t>Quedando a la espera de una favorable resolución legislativa, salud</w:t>
      </w:r>
      <w:r w:rsidRPr="00B75550">
        <w:rPr>
          <w:rFonts w:ascii="Times New Roman" w:eastAsia="Calibri" w:hAnsi="Times New Roman" w:cs="Times New Roman"/>
          <w:sz w:val="24"/>
          <w:szCs w:val="24"/>
          <w:lang w:val="es-AR"/>
        </w:rPr>
        <w:t>am</w:t>
      </w:r>
      <w:r w:rsidR="004B6F21" w:rsidRPr="00B75550">
        <w:rPr>
          <w:rFonts w:ascii="Times New Roman" w:eastAsia="Calibri" w:hAnsi="Times New Roman" w:cs="Times New Roman"/>
          <w:sz w:val="24"/>
          <w:szCs w:val="24"/>
          <w:lang w:val="es-AR"/>
        </w:rPr>
        <w:t>o</w:t>
      </w:r>
      <w:r w:rsidRPr="00B75550">
        <w:rPr>
          <w:rFonts w:ascii="Times New Roman" w:eastAsia="Calibri" w:hAnsi="Times New Roman" w:cs="Times New Roman"/>
          <w:sz w:val="24"/>
          <w:szCs w:val="24"/>
          <w:lang w:val="es-AR"/>
        </w:rPr>
        <w:t>s</w:t>
      </w:r>
      <w:r w:rsidR="004B6F21" w:rsidRPr="00B75550">
        <w:rPr>
          <w:rFonts w:ascii="Times New Roman" w:eastAsia="Calibri" w:hAnsi="Times New Roman" w:cs="Times New Roman"/>
          <w:sz w:val="24"/>
          <w:szCs w:val="24"/>
          <w:lang w:val="es-AR"/>
        </w:rPr>
        <w:t xml:space="preserve"> con distinguida consideración.</w:t>
      </w:r>
    </w:p>
    <w:p w:rsidR="00B96770" w:rsidRPr="00B75550" w:rsidRDefault="00B96770" w:rsidP="00B96770">
      <w:pPr>
        <w:spacing w:after="0" w:line="276" w:lineRule="auto"/>
        <w:jc w:val="both"/>
        <w:rPr>
          <w:rFonts w:ascii="Tahoma" w:eastAsia="Calibri" w:hAnsi="Tahoma" w:cs="Tahoma"/>
          <w:sz w:val="24"/>
          <w:szCs w:val="24"/>
          <w:lang w:val="es-AR"/>
        </w:rPr>
      </w:pPr>
    </w:p>
    <w:p w:rsidR="00B96770" w:rsidRDefault="00B96770" w:rsidP="00B96770">
      <w:pPr>
        <w:spacing w:after="0" w:line="276" w:lineRule="auto"/>
        <w:jc w:val="both"/>
        <w:rPr>
          <w:rFonts w:ascii="Tahoma" w:eastAsia="Calibri" w:hAnsi="Tahoma" w:cs="Tahoma"/>
          <w:lang w:val="es-AR"/>
        </w:rPr>
      </w:pPr>
    </w:p>
    <w:p w:rsidR="00B96770" w:rsidRDefault="00B96770" w:rsidP="00B96770">
      <w:pPr>
        <w:spacing w:after="0" w:line="276" w:lineRule="auto"/>
        <w:jc w:val="both"/>
        <w:rPr>
          <w:rFonts w:ascii="Tahoma" w:eastAsia="Calibri" w:hAnsi="Tahoma" w:cs="Tahoma"/>
          <w:lang w:val="es-AR"/>
        </w:rPr>
      </w:pPr>
    </w:p>
    <w:p w:rsidR="00B96770" w:rsidRDefault="00B96770" w:rsidP="00B96770">
      <w:pPr>
        <w:spacing w:after="0" w:line="276" w:lineRule="auto"/>
        <w:jc w:val="both"/>
        <w:rPr>
          <w:rFonts w:ascii="Tahoma" w:eastAsia="Calibri" w:hAnsi="Tahoma" w:cs="Tahoma"/>
          <w:lang w:val="es-AR"/>
        </w:rPr>
      </w:pPr>
    </w:p>
    <w:p w:rsidR="00B96770" w:rsidRDefault="00B96770" w:rsidP="00B96770">
      <w:pPr>
        <w:spacing w:after="0" w:line="276" w:lineRule="auto"/>
        <w:jc w:val="both"/>
        <w:rPr>
          <w:rFonts w:ascii="Tahoma" w:eastAsia="Calibri" w:hAnsi="Tahoma" w:cs="Tahoma"/>
          <w:lang w:val="es-AR"/>
        </w:rPr>
      </w:pPr>
    </w:p>
    <w:p w:rsidR="00B96770" w:rsidRDefault="00B96770" w:rsidP="00B96770">
      <w:pPr>
        <w:spacing w:after="0" w:line="276" w:lineRule="auto"/>
        <w:jc w:val="both"/>
        <w:rPr>
          <w:rFonts w:ascii="Tahoma" w:eastAsia="Calibri" w:hAnsi="Tahoma" w:cs="Tahoma"/>
          <w:lang w:val="es-AR"/>
        </w:rPr>
      </w:pPr>
    </w:p>
    <w:p w:rsidR="00B96770" w:rsidRDefault="00B96770" w:rsidP="00B96770">
      <w:pPr>
        <w:spacing w:after="0" w:line="276" w:lineRule="auto"/>
        <w:jc w:val="both"/>
        <w:rPr>
          <w:rFonts w:ascii="Tahoma" w:eastAsia="Calibri" w:hAnsi="Tahoma" w:cs="Tahoma"/>
          <w:lang w:val="es-AR"/>
        </w:rPr>
      </w:pPr>
    </w:p>
    <w:p w:rsidR="00B96770" w:rsidRDefault="00B96770" w:rsidP="00B96770">
      <w:pPr>
        <w:spacing w:after="0" w:line="276" w:lineRule="auto"/>
        <w:jc w:val="both"/>
        <w:rPr>
          <w:rFonts w:ascii="Tahoma" w:eastAsia="Calibri" w:hAnsi="Tahoma" w:cs="Tahoma"/>
          <w:lang w:val="es-AR"/>
        </w:rPr>
      </w:pPr>
    </w:p>
    <w:p w:rsidR="00B96770" w:rsidRDefault="00B96770" w:rsidP="00B96770">
      <w:pPr>
        <w:spacing w:after="0" w:line="276" w:lineRule="auto"/>
        <w:jc w:val="both"/>
        <w:rPr>
          <w:rFonts w:ascii="Tahoma" w:eastAsia="Calibri" w:hAnsi="Tahoma" w:cs="Tahoma"/>
          <w:lang w:val="es-AR"/>
        </w:rPr>
      </w:pPr>
    </w:p>
    <w:p w:rsidR="00B96770" w:rsidRDefault="00B96770" w:rsidP="00B96770">
      <w:pPr>
        <w:spacing w:after="0" w:line="276" w:lineRule="auto"/>
        <w:jc w:val="both"/>
        <w:rPr>
          <w:rFonts w:ascii="Times New Roman" w:hAnsi="Times New Roman" w:cs="Times New Roman"/>
          <w:b/>
          <w:sz w:val="24"/>
          <w:szCs w:val="24"/>
          <w:lang w:val="es-ES"/>
        </w:rPr>
      </w:pPr>
    </w:p>
    <w:p w:rsidR="004B6F21" w:rsidRDefault="004B6F21" w:rsidP="009B650F">
      <w:pPr>
        <w:spacing w:after="0" w:line="276" w:lineRule="auto"/>
        <w:jc w:val="center"/>
        <w:rPr>
          <w:rFonts w:ascii="Times New Roman" w:hAnsi="Times New Roman" w:cs="Times New Roman"/>
          <w:b/>
          <w:sz w:val="24"/>
          <w:szCs w:val="24"/>
          <w:lang w:val="es-ES"/>
        </w:rPr>
      </w:pPr>
    </w:p>
    <w:p w:rsidR="00B96770" w:rsidRDefault="00B96770" w:rsidP="009B650F">
      <w:pPr>
        <w:spacing w:after="0" w:line="276" w:lineRule="auto"/>
        <w:jc w:val="center"/>
        <w:rPr>
          <w:rFonts w:ascii="Times New Roman" w:hAnsi="Times New Roman" w:cs="Times New Roman"/>
          <w:b/>
          <w:sz w:val="24"/>
          <w:szCs w:val="24"/>
          <w:lang w:val="es-ES"/>
        </w:rPr>
      </w:pPr>
    </w:p>
    <w:p w:rsidR="00B96770" w:rsidRDefault="00B96770" w:rsidP="009B650F">
      <w:pPr>
        <w:spacing w:after="0" w:line="276" w:lineRule="auto"/>
        <w:jc w:val="center"/>
        <w:rPr>
          <w:rFonts w:ascii="Times New Roman" w:hAnsi="Times New Roman" w:cs="Times New Roman"/>
          <w:b/>
          <w:sz w:val="24"/>
          <w:szCs w:val="24"/>
          <w:lang w:val="es-ES"/>
        </w:rPr>
      </w:pPr>
    </w:p>
    <w:p w:rsidR="00B96770" w:rsidRDefault="00B96770" w:rsidP="009B650F">
      <w:pPr>
        <w:spacing w:after="0" w:line="276" w:lineRule="auto"/>
        <w:jc w:val="center"/>
        <w:rPr>
          <w:rFonts w:ascii="Times New Roman" w:hAnsi="Times New Roman" w:cs="Times New Roman"/>
          <w:b/>
          <w:sz w:val="24"/>
          <w:szCs w:val="24"/>
          <w:lang w:val="es-ES"/>
        </w:rPr>
      </w:pPr>
    </w:p>
    <w:p w:rsidR="00B96770" w:rsidRDefault="00B96770" w:rsidP="009B650F">
      <w:pPr>
        <w:spacing w:after="0" w:line="276" w:lineRule="auto"/>
        <w:jc w:val="center"/>
        <w:rPr>
          <w:rFonts w:ascii="Times New Roman" w:hAnsi="Times New Roman" w:cs="Times New Roman"/>
          <w:b/>
          <w:sz w:val="24"/>
          <w:szCs w:val="24"/>
          <w:lang w:val="es-ES"/>
        </w:rPr>
      </w:pPr>
    </w:p>
    <w:p w:rsidR="00062825" w:rsidRPr="004B6F21" w:rsidRDefault="009B650F" w:rsidP="009B650F">
      <w:pPr>
        <w:spacing w:after="0" w:line="276" w:lineRule="auto"/>
        <w:jc w:val="center"/>
        <w:rPr>
          <w:rFonts w:ascii="Times New Roman" w:hAnsi="Times New Roman" w:cs="Times New Roman"/>
          <w:b/>
          <w:sz w:val="24"/>
          <w:szCs w:val="24"/>
          <w:lang w:val="es-ES"/>
        </w:rPr>
      </w:pPr>
      <w:r w:rsidRPr="004B6F21">
        <w:rPr>
          <w:rFonts w:ascii="Times New Roman" w:hAnsi="Times New Roman" w:cs="Times New Roman"/>
          <w:b/>
          <w:sz w:val="24"/>
          <w:szCs w:val="24"/>
          <w:lang w:val="es-ES"/>
        </w:rPr>
        <w:t xml:space="preserve">LA LEGISLATURA DE LA PROVINCIA DEL NEUQUÉN </w:t>
      </w:r>
    </w:p>
    <w:p w:rsidR="00062825" w:rsidRPr="004B6F21" w:rsidRDefault="009B650F" w:rsidP="009B650F">
      <w:pPr>
        <w:spacing w:after="0" w:line="276" w:lineRule="auto"/>
        <w:jc w:val="center"/>
        <w:rPr>
          <w:rFonts w:ascii="Times New Roman" w:hAnsi="Times New Roman" w:cs="Times New Roman"/>
          <w:b/>
          <w:sz w:val="24"/>
          <w:szCs w:val="24"/>
          <w:lang w:val="es-ES"/>
        </w:rPr>
      </w:pPr>
      <w:r w:rsidRPr="004B6F21">
        <w:rPr>
          <w:rFonts w:ascii="Times New Roman" w:hAnsi="Times New Roman" w:cs="Times New Roman"/>
          <w:b/>
          <w:sz w:val="24"/>
          <w:szCs w:val="24"/>
          <w:lang w:val="es-ES"/>
        </w:rPr>
        <w:t>SANCIONA CON FUERZA DE</w:t>
      </w:r>
      <w:r w:rsidR="00062825" w:rsidRPr="004B6F21">
        <w:rPr>
          <w:rFonts w:ascii="Times New Roman" w:hAnsi="Times New Roman" w:cs="Times New Roman"/>
          <w:b/>
          <w:sz w:val="24"/>
          <w:szCs w:val="24"/>
          <w:lang w:val="es-ES"/>
        </w:rPr>
        <w:t xml:space="preserve"> </w:t>
      </w:r>
    </w:p>
    <w:p w:rsidR="009B650F" w:rsidRPr="004B6F21" w:rsidRDefault="009B650F" w:rsidP="009B650F">
      <w:pPr>
        <w:spacing w:after="0" w:line="276" w:lineRule="auto"/>
        <w:jc w:val="center"/>
        <w:rPr>
          <w:rFonts w:ascii="Times New Roman" w:hAnsi="Times New Roman" w:cs="Times New Roman"/>
          <w:b/>
          <w:sz w:val="24"/>
          <w:szCs w:val="24"/>
          <w:lang w:val="es-ES"/>
        </w:rPr>
      </w:pPr>
      <w:r w:rsidRPr="004B6F21">
        <w:rPr>
          <w:rFonts w:ascii="Times New Roman" w:hAnsi="Times New Roman" w:cs="Times New Roman"/>
          <w:b/>
          <w:sz w:val="24"/>
          <w:szCs w:val="24"/>
          <w:lang w:val="es-ES"/>
        </w:rPr>
        <w:t>LEY:</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1.</w:t>
      </w:r>
      <w:r w:rsidRPr="004B6F21">
        <w:rPr>
          <w:rFonts w:ascii="Times New Roman" w:hAnsi="Times New Roman" w:cs="Times New Roman"/>
          <w:sz w:val="24"/>
          <w:szCs w:val="24"/>
          <w:lang w:val="es-ES"/>
        </w:rPr>
        <w:t xml:space="preserve"> </w:t>
      </w:r>
      <w:r w:rsidR="00AE7F28" w:rsidRPr="004B6F21">
        <w:rPr>
          <w:rFonts w:ascii="Times New Roman" w:hAnsi="Times New Roman" w:cs="Times New Roman"/>
          <w:sz w:val="24"/>
          <w:szCs w:val="24"/>
          <w:lang w:val="es-ES"/>
        </w:rPr>
        <w:t xml:space="preserve"> </w:t>
      </w:r>
      <w:r w:rsidRPr="004B6F21">
        <w:rPr>
          <w:rFonts w:ascii="Times New Roman" w:hAnsi="Times New Roman" w:cs="Times New Roman"/>
          <w:sz w:val="24"/>
          <w:szCs w:val="24"/>
          <w:lang w:val="es-ES"/>
        </w:rPr>
        <w:t>Los funcionarios y empleados públicos de los tres (3) poderes del Estado y demás sujetos obligados en la presente ley deberán presentar una Declaración Jurada Patrimonial Integral al asumir su cargo e inmediatamente después de abandonar la función pública.</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2.</w:t>
      </w:r>
      <w:r w:rsidRPr="004B6F21">
        <w:rPr>
          <w:rFonts w:ascii="Times New Roman" w:hAnsi="Times New Roman" w:cs="Times New Roman"/>
          <w:sz w:val="24"/>
          <w:szCs w:val="24"/>
          <w:lang w:val="es-ES"/>
        </w:rPr>
        <w:t xml:space="preserve"> Quedan comprendidos en la obligación de presentar la Declaración Jurada Patrimonial Integral:</w:t>
      </w:r>
      <w:bookmarkStart w:id="0" w:name="_GoBack"/>
      <w:bookmarkEnd w:id="0"/>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a)</w:t>
      </w:r>
      <w:r w:rsidRPr="004B6F21">
        <w:rPr>
          <w:rFonts w:ascii="Times New Roman" w:hAnsi="Times New Roman" w:cs="Times New Roman"/>
          <w:sz w:val="24"/>
          <w:szCs w:val="24"/>
          <w:lang w:val="es-ES"/>
        </w:rPr>
        <w:tab/>
        <w:t>Por el Poder Ejecutivo: el gobernador, vicegobernador, ministros, secretarios y subsecretarios, coordinadores, directores generales y provinciales, asesor general de Gobierno, contador general de la provincia, personal que intervenga en el manejo de fondos públicos, administre patrimonio público, integre comisiones de adjudicaciones y recepción de bienes, y participe en licitaciones y concursos, jefe y subjefe de la Policía de la provincia, oficiales de rango superior a partir de subcomisario.</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b)</w:t>
      </w:r>
      <w:r w:rsidRPr="004B6F21">
        <w:rPr>
          <w:rFonts w:ascii="Times New Roman" w:hAnsi="Times New Roman" w:cs="Times New Roman"/>
          <w:sz w:val="24"/>
          <w:szCs w:val="24"/>
          <w:lang w:val="es-ES"/>
        </w:rPr>
        <w:tab/>
        <w:t>Por el Poder Legislativo: diputados, secretario y prosecretarios de la Cámara, personal que intervenga en el manejo de fondos públicos, administre patrimonio público, integre comisiones de adjudicaciones y recepción de bienes, y participe en licitaciones y concursos.</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c)</w:t>
      </w:r>
      <w:r w:rsidRPr="004B6F21">
        <w:rPr>
          <w:rFonts w:ascii="Times New Roman" w:hAnsi="Times New Roman" w:cs="Times New Roman"/>
          <w:sz w:val="24"/>
          <w:szCs w:val="24"/>
          <w:lang w:val="es-ES"/>
        </w:rPr>
        <w:tab/>
        <w:t>Por el Poder Judicial: miembros del Tribunal Superior de Justicia, magistrados y funcionarios de todas las instancias, personal que intervenga en el manejo de fondos públicos, administre patrimonio público, integre comisiones de adjudicaciones y recepción de bienes, y participe en licitaciones y concursos.</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d)</w:t>
      </w:r>
      <w:r w:rsidRPr="004B6F21">
        <w:rPr>
          <w:rFonts w:ascii="Times New Roman" w:hAnsi="Times New Roman" w:cs="Times New Roman"/>
          <w:sz w:val="24"/>
          <w:szCs w:val="24"/>
          <w:lang w:val="es-ES"/>
        </w:rPr>
        <w:tab/>
        <w:t>Tribunal de Cuentas: presidente, vocales, secretarios, personal que intervenga en el manejo de fondos públicos, administre y/o fiscalice patrimonio público, integre comisiones de adjudicaciones y recepción de bienes, y participe en licitaciones y concursos.</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e)</w:t>
      </w:r>
      <w:r w:rsidRPr="004B6F21">
        <w:rPr>
          <w:rFonts w:ascii="Times New Roman" w:hAnsi="Times New Roman" w:cs="Times New Roman"/>
          <w:sz w:val="24"/>
          <w:szCs w:val="24"/>
          <w:lang w:val="es-ES"/>
        </w:rPr>
        <w:tab/>
        <w:t xml:space="preserve">Fiscalía de Estado: Fiscal de estado, Adjunto, integrantes del cuerpo de abogados y del cuerpo de asesores de la fiscalía, personal que intervenga en el manejo de fondos públicos, administre patrimonio público, integre comisiones de adjudicaciones y recepción de bienes, participen en licitaciones y concursos, y jefes de personal y recursos humanos. </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lastRenderedPageBreak/>
        <w:t>f)</w:t>
      </w:r>
      <w:r w:rsidRPr="004B6F21">
        <w:rPr>
          <w:rFonts w:ascii="Times New Roman" w:hAnsi="Times New Roman" w:cs="Times New Roman"/>
          <w:sz w:val="24"/>
          <w:szCs w:val="24"/>
          <w:lang w:val="es-ES"/>
        </w:rPr>
        <w:tab/>
        <w:t>Banco Provincia del Neuquén S. A.: presidente y vicepresidente, miembros del directorio, gerente general, integrantes de la comisión fiscalizadora, autoridades de la Fundación BPN.</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g)</w:t>
      </w:r>
      <w:r w:rsidRPr="004B6F21">
        <w:rPr>
          <w:rFonts w:ascii="Times New Roman" w:hAnsi="Times New Roman" w:cs="Times New Roman"/>
          <w:sz w:val="24"/>
          <w:szCs w:val="24"/>
          <w:lang w:val="es-ES"/>
        </w:rPr>
        <w:tab/>
        <w:t>Empresas, sociedades, cooperativas y otros entes con participación del Estado: presidente, miembros del directorio o cuerpo colegiado de conducción, gerentes y subgerentes, directores y subdirectores, contador, tesorero, síndicos, personal que intervenga en el manejo de fondos públicos, administre patrimonio público, integre comisiones de adjudicaciones y recepción de bienes, y participe en licitaciones y concursos, titulares de cooperativas que administren servicios públicos concesionados.</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h)</w:t>
      </w:r>
      <w:r w:rsidRPr="004B6F21">
        <w:rPr>
          <w:rFonts w:ascii="Times New Roman" w:hAnsi="Times New Roman" w:cs="Times New Roman"/>
          <w:sz w:val="24"/>
          <w:szCs w:val="24"/>
          <w:lang w:val="es-ES"/>
        </w:rPr>
        <w:tab/>
        <w:t>Consejo de la Magistratura: Consejeros, Secretario/a y Asesor</w:t>
      </w:r>
      <w:r w:rsidR="00463F2E" w:rsidRPr="004B6F21">
        <w:rPr>
          <w:rFonts w:ascii="Times New Roman" w:hAnsi="Times New Roman" w:cs="Times New Roman"/>
          <w:sz w:val="24"/>
          <w:szCs w:val="24"/>
          <w:lang w:val="es-ES"/>
        </w:rPr>
        <w:t>/a</w:t>
      </w:r>
      <w:r w:rsidRPr="004B6F21">
        <w:rPr>
          <w:rFonts w:ascii="Times New Roman" w:hAnsi="Times New Roman" w:cs="Times New Roman"/>
          <w:sz w:val="24"/>
          <w:szCs w:val="24"/>
          <w:lang w:val="es-ES"/>
        </w:rPr>
        <w:t xml:space="preserve"> del cuerpo.</w:t>
      </w:r>
    </w:p>
    <w:p w:rsidR="009B650F" w:rsidRPr="004B6F21" w:rsidRDefault="00B23577"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i)</w:t>
      </w:r>
      <w:r w:rsidRPr="004B6F21">
        <w:rPr>
          <w:rFonts w:ascii="Times New Roman" w:hAnsi="Times New Roman" w:cs="Times New Roman"/>
          <w:sz w:val="24"/>
          <w:szCs w:val="24"/>
          <w:lang w:val="es-ES"/>
        </w:rPr>
        <w:tab/>
        <w:t xml:space="preserve">Sistema municipal: en los </w:t>
      </w:r>
      <w:r w:rsidR="00482A16" w:rsidRPr="004B6F21">
        <w:rPr>
          <w:rFonts w:ascii="Times New Roman" w:hAnsi="Times New Roman" w:cs="Times New Roman"/>
          <w:sz w:val="24"/>
          <w:szCs w:val="24"/>
          <w:lang w:val="es-ES"/>
        </w:rPr>
        <w:t>municipios de primera, segunda y tercera categoría que adhieran a la presente y comisiones de fomento: intendente, secretarios del departamento ejecutivo, concejales, presidente e integrantes de la comisión municipal, presidente de la comisión de fomento, directores, contador y tesorero, jueces de falta y personal que intervenga en el manejo de fondos públicos, administre patrimonio público, integre comisiones de adjudicaciones y recepción de bienes, y participen en licitaciones y concursos, y jefes de personal y recursos humanos.</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3.</w:t>
      </w:r>
      <w:r w:rsidRPr="004B6F21">
        <w:rPr>
          <w:rFonts w:ascii="Times New Roman" w:hAnsi="Times New Roman" w:cs="Times New Roman"/>
          <w:sz w:val="24"/>
          <w:szCs w:val="24"/>
          <w:lang w:val="es-ES"/>
        </w:rPr>
        <w:t xml:space="preserve"> Las declaraciones juradas patrimoniales tendrán un anexo reservado y contendrá la totalidad de los datos personales y patrimoniales exentos de publicidad correspondientes al cónyuge, conviviente e hijos menores no emancipados de las personas obligadas por esta ley.</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4.</w:t>
      </w:r>
      <w:r w:rsidRPr="004B6F21">
        <w:rPr>
          <w:rFonts w:ascii="Times New Roman" w:hAnsi="Times New Roman" w:cs="Times New Roman"/>
          <w:sz w:val="24"/>
          <w:szCs w:val="24"/>
          <w:lang w:val="es-ES"/>
        </w:rPr>
        <w:t xml:space="preserve"> Los sujetos alcanzados por el régimen establecido en la presente ley deberán presentar sus declaraciones juradas patrimoniales integrales y un anexo reservado dentro de los 30 días de asumido el cargo. Los sujetos obligados que se encontraren en funciones a la fecha en que el régimen se ponga en vigencia, deberán cumplir con las presentaciones dentro de los 30 días siguientes a la promulgación de la presente ley. </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 xml:space="preserve">A tal efecto, serán notificados e intimados ante el vencimiento del plazo legal por la oficina de personal, para que lo hagan en el plazo de 15 quince días, bajo apercibimiento de poner en conocimiento de la omisión a las autoridades correspondientes y quedar incurso en falta grave.  Dicha falta, dará lugar a sanciones disciplinarias y demás consecuencias legales según lo establecido en la Constitución de la Provincia y </w:t>
      </w:r>
      <w:r w:rsidR="00944119" w:rsidRPr="004B6F21">
        <w:rPr>
          <w:rFonts w:ascii="Times New Roman" w:hAnsi="Times New Roman" w:cs="Times New Roman"/>
          <w:sz w:val="24"/>
          <w:szCs w:val="24"/>
          <w:lang w:val="es-ES"/>
        </w:rPr>
        <w:t>la correspondiente</w:t>
      </w:r>
      <w:r w:rsidRPr="004B6F21">
        <w:rPr>
          <w:rFonts w:ascii="Times New Roman" w:hAnsi="Times New Roman" w:cs="Times New Roman"/>
          <w:sz w:val="24"/>
          <w:szCs w:val="24"/>
          <w:lang w:val="es-ES"/>
        </w:rPr>
        <w:t xml:space="preserve"> normativa</w:t>
      </w:r>
      <w:r w:rsidR="00944119" w:rsidRPr="004B6F21">
        <w:rPr>
          <w:rFonts w:ascii="Times New Roman" w:hAnsi="Times New Roman" w:cs="Times New Roman"/>
          <w:sz w:val="24"/>
          <w:szCs w:val="24"/>
          <w:lang w:val="es-ES"/>
        </w:rPr>
        <w:t xml:space="preserve"> aplicable</w:t>
      </w:r>
      <w:r w:rsidRPr="004B6F21">
        <w:rPr>
          <w:rFonts w:ascii="Times New Roman" w:hAnsi="Times New Roman" w:cs="Times New Roman"/>
          <w:sz w:val="24"/>
          <w:szCs w:val="24"/>
          <w:lang w:val="es-ES"/>
        </w:rPr>
        <w:t>.</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5.</w:t>
      </w:r>
      <w:r w:rsidRPr="004B6F21">
        <w:rPr>
          <w:rFonts w:ascii="Times New Roman" w:hAnsi="Times New Roman" w:cs="Times New Roman"/>
          <w:sz w:val="24"/>
          <w:szCs w:val="24"/>
          <w:lang w:val="es-ES"/>
        </w:rPr>
        <w:t xml:space="preserve"> Los sujetos obligados deberán actualizar anualmente la información contenida en esa declaración jurada y el anexo reservado y presentar una última declaración jurada dentro de 30 días desde la fecha de cesación en el cargo.</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6.</w:t>
      </w:r>
      <w:r w:rsidRPr="004B6F21">
        <w:rPr>
          <w:rFonts w:ascii="Times New Roman" w:hAnsi="Times New Roman" w:cs="Times New Roman"/>
          <w:sz w:val="24"/>
          <w:szCs w:val="24"/>
          <w:lang w:val="es-ES"/>
        </w:rPr>
        <w:t xml:space="preserve"> La autoridad de aplicación de la presente ley será el Ministerio de Gobierno o el organismo que en el futuro lo remplace.</w:t>
      </w:r>
    </w:p>
    <w:p w:rsidR="009B650F" w:rsidRPr="004B6F21" w:rsidRDefault="009B650F" w:rsidP="00665A30">
      <w:pPr>
        <w:spacing w:after="0" w:line="276" w:lineRule="auto"/>
        <w:jc w:val="center"/>
        <w:rPr>
          <w:rFonts w:ascii="Times New Roman" w:hAnsi="Times New Roman" w:cs="Times New Roman"/>
          <w:sz w:val="24"/>
          <w:szCs w:val="24"/>
          <w:lang w:val="es-ES"/>
        </w:rPr>
      </w:pPr>
    </w:p>
    <w:p w:rsidR="009B650F" w:rsidRDefault="009B650F" w:rsidP="00665A30">
      <w:pPr>
        <w:spacing w:after="0" w:line="276" w:lineRule="auto"/>
        <w:jc w:val="center"/>
        <w:rPr>
          <w:rFonts w:ascii="Times New Roman" w:hAnsi="Times New Roman" w:cs="Times New Roman"/>
          <w:b/>
          <w:sz w:val="24"/>
          <w:szCs w:val="24"/>
          <w:lang w:val="es-ES"/>
        </w:rPr>
      </w:pPr>
      <w:r w:rsidRPr="00B96770">
        <w:rPr>
          <w:rFonts w:ascii="Times New Roman" w:hAnsi="Times New Roman" w:cs="Times New Roman"/>
          <w:b/>
          <w:sz w:val="24"/>
          <w:szCs w:val="24"/>
          <w:lang w:val="es-ES"/>
        </w:rPr>
        <w:t>DECLARACION JURADA PATRIMONIAL INTEGRAL</w:t>
      </w:r>
    </w:p>
    <w:p w:rsidR="00B96770" w:rsidRPr="00B96770" w:rsidRDefault="00B96770" w:rsidP="00665A30">
      <w:pPr>
        <w:spacing w:after="0" w:line="276" w:lineRule="auto"/>
        <w:jc w:val="center"/>
        <w:rPr>
          <w:rFonts w:ascii="Times New Roman" w:hAnsi="Times New Roman" w:cs="Times New Roman"/>
          <w:b/>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7.</w:t>
      </w:r>
      <w:r w:rsidRPr="004B6F21">
        <w:rPr>
          <w:rFonts w:ascii="Times New Roman" w:hAnsi="Times New Roman" w:cs="Times New Roman"/>
          <w:sz w:val="24"/>
          <w:szCs w:val="24"/>
          <w:lang w:val="es-ES"/>
        </w:rPr>
        <w:t xml:space="preserve"> Las declaraciones juradas patrimoniales a que se refiere esta ley serán iguales a las del impuesto a las ganancias y a las del impuesto sobre los bienes personales que se presentan ante la </w:t>
      </w:r>
      <w:r w:rsidR="00944119" w:rsidRPr="004B6F21">
        <w:rPr>
          <w:rFonts w:ascii="Times New Roman" w:hAnsi="Times New Roman" w:cs="Times New Roman"/>
          <w:sz w:val="24"/>
          <w:szCs w:val="24"/>
          <w:lang w:val="es-ES"/>
        </w:rPr>
        <w:t>Agencia de Recaudación y Control Aduanero</w:t>
      </w:r>
      <w:r w:rsidRPr="004B6F21">
        <w:rPr>
          <w:rFonts w:ascii="Times New Roman" w:hAnsi="Times New Roman" w:cs="Times New Roman"/>
          <w:sz w:val="24"/>
          <w:szCs w:val="24"/>
          <w:lang w:val="es-ES"/>
        </w:rPr>
        <w:t xml:space="preserve"> (</w:t>
      </w:r>
      <w:r w:rsidR="00944119" w:rsidRPr="004B6F21">
        <w:rPr>
          <w:rFonts w:ascii="Times New Roman" w:hAnsi="Times New Roman" w:cs="Times New Roman"/>
          <w:sz w:val="24"/>
          <w:szCs w:val="24"/>
          <w:lang w:val="es-ES"/>
        </w:rPr>
        <w:t>ARCA</w:t>
      </w:r>
      <w:r w:rsidRPr="004B6F21">
        <w:rPr>
          <w:rFonts w:ascii="Times New Roman" w:hAnsi="Times New Roman" w:cs="Times New Roman"/>
          <w:sz w:val="24"/>
          <w:szCs w:val="24"/>
          <w:lang w:val="es-ES"/>
        </w:rPr>
        <w:t xml:space="preserve">). Para ello, se deberá acceder a la web de </w:t>
      </w:r>
      <w:r w:rsidR="00944119" w:rsidRPr="004B6F21">
        <w:rPr>
          <w:rFonts w:ascii="Times New Roman" w:hAnsi="Times New Roman" w:cs="Times New Roman"/>
          <w:sz w:val="24"/>
          <w:szCs w:val="24"/>
          <w:lang w:val="es-ES"/>
        </w:rPr>
        <w:t>ARCA</w:t>
      </w:r>
      <w:r w:rsidRPr="004B6F21">
        <w:rPr>
          <w:rFonts w:ascii="Times New Roman" w:hAnsi="Times New Roman" w:cs="Times New Roman"/>
          <w:sz w:val="24"/>
          <w:szCs w:val="24"/>
          <w:lang w:val="es-ES"/>
        </w:rPr>
        <w:t xml:space="preserve"> y replicar la información de estas declaraciones juradas impositivas, implicando ello la unificación de las mismas a efectos de cumplir con ambos regímenes legales. No regirá para estos casos, ni para el anexo reservado el secreto fiscal establecido por la legislación impositiva.</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Las personas que no efectúen las declaraciones juradas del impuesto a las ganancias y del impuesto sobre los bienes personales a la fecha ante el organismo fiscal, deberán presentar una declaración de contenido equivalente a la del impuesto a las ganancias y a la del impuesto sobre los bienes personales, a efectos del cumplimiento de las obligaciones establecidas en la ley, además del anexo reservado correspondiente.</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8.</w:t>
      </w:r>
      <w:r w:rsidRPr="004B6F21">
        <w:rPr>
          <w:rFonts w:ascii="Times New Roman" w:hAnsi="Times New Roman" w:cs="Times New Roman"/>
          <w:sz w:val="24"/>
          <w:szCs w:val="24"/>
          <w:lang w:val="es-ES"/>
        </w:rPr>
        <w:t xml:space="preserve"> La declaración jurada y el anexo reservado deberán contener una nómina detallada de la situación patrimonial correspondiente al período fiscal finalizado al 31 de diciembre del año inmediato anterior al de la presentación, propios del declarante, propios de su cónyuge, los que integren la sociedad conyugal, los del conviviente y los de sus hijos menores no emancipados, en el país o en el extranjero. En especial, se detallará lo que se indica a continuación:</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a)</w:t>
      </w:r>
      <w:r w:rsidRPr="004B6F21">
        <w:rPr>
          <w:rFonts w:ascii="Times New Roman" w:hAnsi="Times New Roman" w:cs="Times New Roman"/>
          <w:sz w:val="24"/>
          <w:szCs w:val="24"/>
          <w:lang w:val="es-ES"/>
        </w:rPr>
        <w:tab/>
        <w:t>Los inmuebles ubicados en el país y el exterior.</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b)</w:t>
      </w:r>
      <w:r w:rsidRPr="004B6F21">
        <w:rPr>
          <w:rFonts w:ascii="Times New Roman" w:hAnsi="Times New Roman" w:cs="Times New Roman"/>
          <w:sz w:val="24"/>
          <w:szCs w:val="24"/>
          <w:lang w:val="es-ES"/>
        </w:rPr>
        <w:tab/>
        <w:t>Los derechos reales constituidos sobre bienes situados en el país y el exterior.</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c)</w:t>
      </w:r>
      <w:r w:rsidRPr="004B6F21">
        <w:rPr>
          <w:rFonts w:ascii="Times New Roman" w:hAnsi="Times New Roman" w:cs="Times New Roman"/>
          <w:sz w:val="24"/>
          <w:szCs w:val="24"/>
          <w:lang w:val="es-ES"/>
        </w:rPr>
        <w:tab/>
        <w:t>Los automotores, naves y aeronaves bienes muebles y semovientes registrados en el país y en el exterior.</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lastRenderedPageBreak/>
        <w:t>d)</w:t>
      </w:r>
      <w:r w:rsidRPr="004B6F21">
        <w:rPr>
          <w:rFonts w:ascii="Times New Roman" w:hAnsi="Times New Roman" w:cs="Times New Roman"/>
          <w:sz w:val="24"/>
          <w:szCs w:val="24"/>
          <w:lang w:val="es-ES"/>
        </w:rPr>
        <w:tab/>
        <w:t>Los bienes de lujo o suntuosos, joyas y demás bienes muebles y personales sean o no registrables</w:t>
      </w:r>
      <w:r w:rsidR="00665A30" w:rsidRPr="004B6F21">
        <w:rPr>
          <w:rFonts w:ascii="Times New Roman" w:hAnsi="Times New Roman" w:cs="Times New Roman"/>
          <w:sz w:val="24"/>
          <w:szCs w:val="24"/>
          <w:lang w:val="es-ES"/>
        </w:rPr>
        <w:t>.</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e)</w:t>
      </w:r>
      <w:r w:rsidRPr="004B6F21">
        <w:rPr>
          <w:rFonts w:ascii="Times New Roman" w:hAnsi="Times New Roman" w:cs="Times New Roman"/>
          <w:sz w:val="24"/>
          <w:szCs w:val="24"/>
          <w:lang w:val="es-ES"/>
        </w:rPr>
        <w:tab/>
        <w:t>El dinero y los depósitos en dinero en instituciones del país o del exterior.</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f)</w:t>
      </w:r>
      <w:r w:rsidRPr="004B6F21">
        <w:rPr>
          <w:rFonts w:ascii="Times New Roman" w:hAnsi="Times New Roman" w:cs="Times New Roman"/>
          <w:sz w:val="24"/>
          <w:szCs w:val="24"/>
          <w:lang w:val="es-ES"/>
        </w:rPr>
        <w:tab/>
        <w:t>Los títulos, las acciones, cuotas o participaciones sociales y otros títulos valores representativos de capital social o equivalente, emitidos por entes públicos o privados, cuando estos tuvieran domicilio en el país o en el exterior.</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g)</w:t>
      </w:r>
      <w:r w:rsidRPr="004B6F21">
        <w:rPr>
          <w:rFonts w:ascii="Times New Roman" w:hAnsi="Times New Roman" w:cs="Times New Roman"/>
          <w:sz w:val="24"/>
          <w:szCs w:val="24"/>
          <w:lang w:val="es-ES"/>
        </w:rPr>
        <w:tab/>
        <w:t>Los patrimonios de empresas o explotaciones unipersonales ubicadas en el país.</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h)</w:t>
      </w:r>
      <w:r w:rsidRPr="004B6F21">
        <w:rPr>
          <w:rFonts w:ascii="Times New Roman" w:hAnsi="Times New Roman" w:cs="Times New Roman"/>
          <w:sz w:val="24"/>
          <w:szCs w:val="24"/>
          <w:lang w:val="es-ES"/>
        </w:rPr>
        <w:tab/>
        <w:t xml:space="preserve">Las monedas virtuales o digitales, los </w:t>
      </w:r>
      <w:proofErr w:type="spellStart"/>
      <w:r w:rsidRPr="004B6F21">
        <w:rPr>
          <w:rFonts w:ascii="Times New Roman" w:hAnsi="Times New Roman" w:cs="Times New Roman"/>
          <w:sz w:val="24"/>
          <w:szCs w:val="24"/>
          <w:lang w:val="es-ES"/>
        </w:rPr>
        <w:t>criptoactivos</w:t>
      </w:r>
      <w:proofErr w:type="spellEnd"/>
      <w:r w:rsidRPr="004B6F21">
        <w:rPr>
          <w:rFonts w:ascii="Times New Roman" w:hAnsi="Times New Roman" w:cs="Times New Roman"/>
          <w:sz w:val="24"/>
          <w:szCs w:val="24"/>
          <w:lang w:val="es-ES"/>
        </w:rPr>
        <w:t xml:space="preserve"> o similares.</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i)</w:t>
      </w:r>
      <w:r w:rsidRPr="004B6F21">
        <w:rPr>
          <w:rFonts w:ascii="Times New Roman" w:hAnsi="Times New Roman" w:cs="Times New Roman"/>
          <w:sz w:val="24"/>
          <w:szCs w:val="24"/>
          <w:lang w:val="es-ES"/>
        </w:rPr>
        <w:tab/>
        <w:t>Los créditos, cuando el domicilio real del deudor esté ubicado en el país o en el extranjero.</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j)</w:t>
      </w:r>
      <w:r w:rsidRPr="004B6F21">
        <w:rPr>
          <w:rFonts w:ascii="Times New Roman" w:hAnsi="Times New Roman" w:cs="Times New Roman"/>
          <w:sz w:val="24"/>
          <w:szCs w:val="24"/>
          <w:lang w:val="es-ES"/>
        </w:rPr>
        <w:tab/>
        <w:t>Los derechos de propiedad científica, literaria o artística, los de marcas de fábrica o de comercio y similares, las patentes, dibujos, modelos y diseños reservados y restantes de la propiedad industrial o inmaterial, así como los derivados de estos y las licencias respectivas.</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9.</w:t>
      </w:r>
      <w:r w:rsidRPr="004B6F21">
        <w:rPr>
          <w:rFonts w:ascii="Times New Roman" w:hAnsi="Times New Roman" w:cs="Times New Roman"/>
          <w:sz w:val="24"/>
          <w:szCs w:val="24"/>
          <w:lang w:val="es-ES"/>
        </w:rPr>
        <w:t xml:space="preserve"> Las declaraciones juradas patrimoniales y el anexo reservado deberán ser presentados en sobre cerrado, bajo constancia, por los sujetos obligados en el</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artículo 2 de la presente ley ante la respectiva oficina de personal, la que deberá remitir dicha documentación junto con un listado de los sujetos obligados bajo su órbita a la Escribanía General de Gobierno informando los incumplimientos si los hubieren.</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La falta de remisión dentro del plazo establecido en la reglamentación y sin causa justificada, será considerada falta grave del funcionario responsable del área.</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10</w:t>
      </w:r>
      <w:r w:rsidR="00062825" w:rsidRPr="004B6F21">
        <w:rPr>
          <w:rFonts w:ascii="Times New Roman" w:hAnsi="Times New Roman" w:cs="Times New Roman"/>
          <w:b/>
          <w:sz w:val="24"/>
          <w:szCs w:val="24"/>
          <w:lang w:val="es-ES"/>
        </w:rPr>
        <w:t>.</w:t>
      </w:r>
      <w:r w:rsidRPr="004B6F21">
        <w:rPr>
          <w:rFonts w:ascii="Times New Roman" w:hAnsi="Times New Roman" w:cs="Times New Roman"/>
          <w:sz w:val="24"/>
          <w:szCs w:val="24"/>
          <w:lang w:val="es-ES"/>
        </w:rPr>
        <w:t xml:space="preserve"> La Escribanía General de Gobierno tendrá a su cargo las siguientes funciones: </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 xml:space="preserve">a) Llevar un registro </w:t>
      </w:r>
      <w:r w:rsidR="00665A30" w:rsidRPr="004B6F21">
        <w:rPr>
          <w:rFonts w:ascii="Times New Roman" w:hAnsi="Times New Roman" w:cs="Times New Roman"/>
          <w:sz w:val="24"/>
          <w:szCs w:val="24"/>
          <w:lang w:val="es-ES"/>
        </w:rPr>
        <w:t xml:space="preserve">foliado y firmado por el Escribano General de la Provincia </w:t>
      </w:r>
      <w:r w:rsidRPr="004B6F21">
        <w:rPr>
          <w:rFonts w:ascii="Times New Roman" w:hAnsi="Times New Roman" w:cs="Times New Roman"/>
          <w:sz w:val="24"/>
          <w:szCs w:val="24"/>
          <w:lang w:val="es-ES"/>
        </w:rPr>
        <w:t>de las Declaraciones Juradas</w:t>
      </w:r>
      <w:r w:rsidR="00665A30" w:rsidRPr="004B6F21">
        <w:rPr>
          <w:rFonts w:ascii="Times New Roman" w:hAnsi="Times New Roman" w:cs="Times New Roman"/>
          <w:sz w:val="24"/>
          <w:szCs w:val="24"/>
          <w:lang w:val="es-ES"/>
        </w:rPr>
        <w:t xml:space="preserve"> presentadas</w:t>
      </w:r>
      <w:r w:rsidRPr="004B6F21">
        <w:rPr>
          <w:rFonts w:ascii="Times New Roman" w:hAnsi="Times New Roman" w:cs="Times New Roman"/>
          <w:sz w:val="24"/>
          <w:szCs w:val="24"/>
          <w:lang w:val="es-ES"/>
        </w:rPr>
        <w:t xml:space="preserve">. </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 xml:space="preserve">b) Llevar una nómina actualizada de los funcionarios obligados a presentar Declaración Jurada, con especificación de la observancia e inobservancia de tal deber, la que será publicada en el Boletín Oficial en el plazo que establezca la reglamentación. </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 xml:space="preserve">c) Resguardar bajo su órbita y por el término de diez (10) años la documentación </w:t>
      </w:r>
      <w:proofErr w:type="spellStart"/>
      <w:r w:rsidRPr="004B6F21">
        <w:rPr>
          <w:rFonts w:ascii="Times New Roman" w:hAnsi="Times New Roman" w:cs="Times New Roman"/>
          <w:sz w:val="24"/>
          <w:szCs w:val="24"/>
          <w:lang w:val="es-ES"/>
        </w:rPr>
        <w:t>recepcionada</w:t>
      </w:r>
      <w:proofErr w:type="spellEnd"/>
      <w:r w:rsidRPr="004B6F21">
        <w:rPr>
          <w:rFonts w:ascii="Times New Roman" w:hAnsi="Times New Roman" w:cs="Times New Roman"/>
          <w:sz w:val="24"/>
          <w:szCs w:val="24"/>
          <w:lang w:val="es-ES"/>
        </w:rPr>
        <w:t xml:space="preserve"> en los términos de la presente Ley.</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7742E1" w:rsidRDefault="009B650F" w:rsidP="00665A30">
      <w:pPr>
        <w:spacing w:after="0" w:line="276" w:lineRule="auto"/>
        <w:jc w:val="center"/>
        <w:rPr>
          <w:rFonts w:ascii="Times New Roman" w:hAnsi="Times New Roman" w:cs="Times New Roman"/>
          <w:b/>
          <w:sz w:val="24"/>
          <w:szCs w:val="24"/>
          <w:lang w:val="es-ES"/>
        </w:rPr>
      </w:pPr>
      <w:r w:rsidRPr="007742E1">
        <w:rPr>
          <w:rFonts w:ascii="Times New Roman" w:hAnsi="Times New Roman" w:cs="Times New Roman"/>
          <w:b/>
          <w:sz w:val="24"/>
          <w:szCs w:val="24"/>
          <w:lang w:val="es-ES"/>
        </w:rPr>
        <w:t>ACCESO Y PUBLICIDAD</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lastRenderedPageBreak/>
        <w:t>Artículo 11</w:t>
      </w:r>
      <w:r w:rsidR="00062825" w:rsidRPr="004B6F21">
        <w:rPr>
          <w:rFonts w:ascii="Times New Roman" w:hAnsi="Times New Roman" w:cs="Times New Roman"/>
          <w:b/>
          <w:sz w:val="24"/>
          <w:szCs w:val="24"/>
          <w:lang w:val="es-ES"/>
        </w:rPr>
        <w:t>.</w:t>
      </w:r>
      <w:r w:rsidRPr="004B6F21">
        <w:rPr>
          <w:rFonts w:ascii="Times New Roman" w:hAnsi="Times New Roman" w:cs="Times New Roman"/>
          <w:sz w:val="24"/>
          <w:szCs w:val="24"/>
          <w:lang w:val="es-ES"/>
        </w:rPr>
        <w:t xml:space="preserve"> Las declaraciones juradas serán de carácter público, de libre acceso, y podrán ser consultadas por toda persona interesada en forma gratuita a través del sitio de internet de la Oficina Anticorrupción del Ministerio de Justicia de la Nación, con excepción de los anexos reservados.</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12</w:t>
      </w:r>
      <w:r w:rsidR="00062825" w:rsidRPr="004B6F21">
        <w:rPr>
          <w:rFonts w:ascii="Times New Roman" w:hAnsi="Times New Roman" w:cs="Times New Roman"/>
          <w:b/>
          <w:sz w:val="24"/>
          <w:szCs w:val="24"/>
          <w:lang w:val="es-ES"/>
        </w:rPr>
        <w:t>.</w:t>
      </w:r>
      <w:r w:rsidRPr="004B6F21">
        <w:rPr>
          <w:rFonts w:ascii="Times New Roman" w:hAnsi="Times New Roman" w:cs="Times New Roman"/>
          <w:sz w:val="24"/>
          <w:szCs w:val="24"/>
          <w:lang w:val="es-ES"/>
        </w:rPr>
        <w:t xml:space="preserve"> El acceso a los datos contenidos en los anexos reservados en la Escribanía General de Gobierno queda </w:t>
      </w:r>
      <w:proofErr w:type="gramStart"/>
      <w:r w:rsidRPr="004B6F21">
        <w:rPr>
          <w:rFonts w:ascii="Times New Roman" w:hAnsi="Times New Roman" w:cs="Times New Roman"/>
          <w:sz w:val="24"/>
          <w:szCs w:val="24"/>
          <w:lang w:val="es-ES"/>
        </w:rPr>
        <w:t>sujeta</w:t>
      </w:r>
      <w:proofErr w:type="gramEnd"/>
      <w:r w:rsidRPr="004B6F21">
        <w:rPr>
          <w:rFonts w:ascii="Times New Roman" w:hAnsi="Times New Roman" w:cs="Times New Roman"/>
          <w:sz w:val="24"/>
          <w:szCs w:val="24"/>
          <w:lang w:val="es-ES"/>
        </w:rPr>
        <w:t xml:space="preserve"> a:</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a)</w:t>
      </w:r>
      <w:r w:rsidRPr="004B6F21">
        <w:rPr>
          <w:rFonts w:ascii="Times New Roman" w:hAnsi="Times New Roman" w:cs="Times New Roman"/>
          <w:sz w:val="24"/>
          <w:szCs w:val="24"/>
          <w:lang w:val="es-ES"/>
        </w:rPr>
        <w:tab/>
        <w:t>Solicitud del propio interesado.</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b)</w:t>
      </w:r>
      <w:r w:rsidRPr="004B6F21">
        <w:rPr>
          <w:rFonts w:ascii="Times New Roman" w:hAnsi="Times New Roman" w:cs="Times New Roman"/>
          <w:sz w:val="24"/>
          <w:szCs w:val="24"/>
          <w:lang w:val="es-ES"/>
        </w:rPr>
        <w:tab/>
        <w:t>Resolución fundada de un juez con motivo de causa judicial.</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c)</w:t>
      </w:r>
      <w:r w:rsidRPr="004B6F21">
        <w:rPr>
          <w:rFonts w:ascii="Times New Roman" w:hAnsi="Times New Roman" w:cs="Times New Roman"/>
          <w:sz w:val="24"/>
          <w:szCs w:val="24"/>
          <w:lang w:val="es-ES"/>
        </w:rPr>
        <w:tab/>
        <w:t>Requerimiento de la Comisión Investigadora de la Honorable Legislatura para los procedimientos de Juicio Político.</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13</w:t>
      </w:r>
      <w:r w:rsidR="00062825" w:rsidRPr="004B6F21">
        <w:rPr>
          <w:rFonts w:ascii="Times New Roman" w:hAnsi="Times New Roman" w:cs="Times New Roman"/>
          <w:b/>
          <w:sz w:val="24"/>
          <w:szCs w:val="24"/>
          <w:lang w:val="es-ES"/>
        </w:rPr>
        <w:t>.</w:t>
      </w:r>
      <w:r w:rsidRPr="004B6F21">
        <w:rPr>
          <w:rFonts w:ascii="Times New Roman" w:hAnsi="Times New Roman" w:cs="Times New Roman"/>
          <w:sz w:val="24"/>
          <w:szCs w:val="24"/>
          <w:lang w:val="es-ES"/>
        </w:rPr>
        <w:t xml:space="preserve"> La persona que acceda a una declaración jurada mediante el procedimiento previsto en esta ley, no podrá utilizarla para:</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a)</w:t>
      </w:r>
      <w:r w:rsidRPr="004B6F21">
        <w:rPr>
          <w:rFonts w:ascii="Times New Roman" w:hAnsi="Times New Roman" w:cs="Times New Roman"/>
          <w:sz w:val="24"/>
          <w:szCs w:val="24"/>
          <w:lang w:val="es-ES"/>
        </w:rPr>
        <w:tab/>
        <w:t>Cualquier propósito comercial, exceptuando a los medios de comunicación y noticias para la difusión al público en general;</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b)</w:t>
      </w:r>
      <w:r w:rsidRPr="004B6F21">
        <w:rPr>
          <w:rFonts w:ascii="Times New Roman" w:hAnsi="Times New Roman" w:cs="Times New Roman"/>
          <w:sz w:val="24"/>
          <w:szCs w:val="24"/>
          <w:lang w:val="es-ES"/>
        </w:rPr>
        <w:tab/>
        <w:t>Determinar o establecer la clasificación crediticia de cualquier individuo; o</w:t>
      </w: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sz w:val="24"/>
          <w:szCs w:val="24"/>
          <w:lang w:val="es-ES"/>
        </w:rPr>
        <w:t>c)</w:t>
      </w:r>
      <w:r w:rsidRPr="004B6F21">
        <w:rPr>
          <w:rFonts w:ascii="Times New Roman" w:hAnsi="Times New Roman" w:cs="Times New Roman"/>
          <w:sz w:val="24"/>
          <w:szCs w:val="24"/>
          <w:lang w:val="es-ES"/>
        </w:rPr>
        <w:tab/>
        <w:t>Efectuar en forma directa o indirecta, una solicitud de dinero con fines políticos, benéficos o de otra índole.</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14</w:t>
      </w:r>
      <w:r w:rsidR="00062825" w:rsidRPr="004B6F21">
        <w:rPr>
          <w:rFonts w:ascii="Times New Roman" w:hAnsi="Times New Roman" w:cs="Times New Roman"/>
          <w:b/>
          <w:sz w:val="24"/>
          <w:szCs w:val="24"/>
          <w:lang w:val="es-ES"/>
        </w:rPr>
        <w:t>.</w:t>
      </w:r>
      <w:r w:rsidRPr="004B6F21">
        <w:rPr>
          <w:rFonts w:ascii="Times New Roman" w:hAnsi="Times New Roman" w:cs="Times New Roman"/>
          <w:sz w:val="24"/>
          <w:szCs w:val="24"/>
          <w:lang w:val="es-ES"/>
        </w:rPr>
        <w:t xml:space="preserve"> Todo uso ilegal o contrario al artículo anterior de una declaración jurada, será pasible de la sanción de multa de entre 15 </w:t>
      </w:r>
      <w:proofErr w:type="spellStart"/>
      <w:r w:rsidRPr="004B6F21">
        <w:rPr>
          <w:rFonts w:ascii="Times New Roman" w:hAnsi="Times New Roman" w:cs="Times New Roman"/>
          <w:sz w:val="24"/>
          <w:szCs w:val="24"/>
          <w:lang w:val="es-ES"/>
        </w:rPr>
        <w:t>jus</w:t>
      </w:r>
      <w:proofErr w:type="spellEnd"/>
      <w:r w:rsidRPr="004B6F21">
        <w:rPr>
          <w:rFonts w:ascii="Times New Roman" w:hAnsi="Times New Roman" w:cs="Times New Roman"/>
          <w:sz w:val="24"/>
          <w:szCs w:val="24"/>
          <w:lang w:val="es-ES"/>
        </w:rPr>
        <w:t xml:space="preserve"> y 100 </w:t>
      </w:r>
      <w:proofErr w:type="spellStart"/>
      <w:r w:rsidRPr="004B6F21">
        <w:rPr>
          <w:rFonts w:ascii="Times New Roman" w:hAnsi="Times New Roman" w:cs="Times New Roman"/>
          <w:sz w:val="24"/>
          <w:szCs w:val="24"/>
          <w:lang w:val="es-ES"/>
        </w:rPr>
        <w:t>jus</w:t>
      </w:r>
      <w:proofErr w:type="spellEnd"/>
      <w:r w:rsidRPr="004B6F21">
        <w:rPr>
          <w:rFonts w:ascii="Times New Roman" w:hAnsi="Times New Roman" w:cs="Times New Roman"/>
          <w:sz w:val="24"/>
          <w:szCs w:val="24"/>
          <w:lang w:val="es-ES"/>
        </w:rPr>
        <w:t>, sin perjuicio de las disposiciones y sanciones est</w:t>
      </w:r>
      <w:r w:rsidR="00944119" w:rsidRPr="004B6F21">
        <w:rPr>
          <w:rFonts w:ascii="Times New Roman" w:hAnsi="Times New Roman" w:cs="Times New Roman"/>
          <w:sz w:val="24"/>
          <w:szCs w:val="24"/>
          <w:lang w:val="es-ES"/>
        </w:rPr>
        <w:t>ablecidas en la Ley nacional 25.</w:t>
      </w:r>
      <w:r w:rsidRPr="004B6F21">
        <w:rPr>
          <w:rFonts w:ascii="Times New Roman" w:hAnsi="Times New Roman" w:cs="Times New Roman"/>
          <w:sz w:val="24"/>
          <w:szCs w:val="24"/>
          <w:lang w:val="es-ES"/>
        </w:rPr>
        <w:t xml:space="preserve">326 </w:t>
      </w:r>
      <w:r w:rsidR="00944119" w:rsidRPr="004B6F21">
        <w:rPr>
          <w:rFonts w:ascii="Times New Roman" w:hAnsi="Times New Roman" w:cs="Times New Roman"/>
          <w:sz w:val="24"/>
          <w:szCs w:val="24"/>
          <w:lang w:val="es-ES"/>
        </w:rPr>
        <w:t>de Protección de Datos</w:t>
      </w:r>
      <w:r w:rsidRPr="004B6F21">
        <w:rPr>
          <w:rFonts w:ascii="Times New Roman" w:hAnsi="Times New Roman" w:cs="Times New Roman"/>
          <w:sz w:val="24"/>
          <w:szCs w:val="24"/>
          <w:lang w:val="es-ES"/>
        </w:rPr>
        <w:t>.</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w:t>
      </w:r>
      <w:r w:rsidR="00944119" w:rsidRPr="004B6F21">
        <w:rPr>
          <w:rFonts w:ascii="Times New Roman" w:hAnsi="Times New Roman" w:cs="Times New Roman"/>
          <w:b/>
          <w:sz w:val="24"/>
          <w:szCs w:val="24"/>
          <w:lang w:val="es-ES"/>
        </w:rPr>
        <w:t>ículo 15</w:t>
      </w:r>
      <w:r w:rsidR="00463F2E" w:rsidRPr="004B6F21">
        <w:rPr>
          <w:rFonts w:ascii="Times New Roman" w:hAnsi="Times New Roman" w:cs="Times New Roman"/>
          <w:sz w:val="24"/>
          <w:szCs w:val="24"/>
          <w:lang w:val="es-ES"/>
        </w:rPr>
        <w:t>.</w:t>
      </w:r>
      <w:r w:rsidR="00944119" w:rsidRPr="004B6F21">
        <w:rPr>
          <w:rFonts w:ascii="Times New Roman" w:hAnsi="Times New Roman" w:cs="Times New Roman"/>
          <w:sz w:val="24"/>
          <w:szCs w:val="24"/>
          <w:lang w:val="es-ES"/>
        </w:rPr>
        <w:t xml:space="preserve"> Se deroga la Ley 5</w:t>
      </w:r>
      <w:r w:rsidRPr="004B6F21">
        <w:rPr>
          <w:rFonts w:ascii="Times New Roman" w:hAnsi="Times New Roman" w:cs="Times New Roman"/>
          <w:sz w:val="24"/>
          <w:szCs w:val="24"/>
          <w:lang w:val="es-ES"/>
        </w:rPr>
        <w:t>.</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16</w:t>
      </w:r>
      <w:r w:rsidR="00463F2E" w:rsidRPr="004B6F21">
        <w:rPr>
          <w:rFonts w:ascii="Times New Roman" w:hAnsi="Times New Roman" w:cs="Times New Roman"/>
          <w:b/>
          <w:sz w:val="24"/>
          <w:szCs w:val="24"/>
          <w:lang w:val="es-ES"/>
        </w:rPr>
        <w:t>.</w:t>
      </w:r>
      <w:r w:rsidRPr="004B6F21">
        <w:rPr>
          <w:rFonts w:ascii="Times New Roman" w:hAnsi="Times New Roman" w:cs="Times New Roman"/>
          <w:sz w:val="24"/>
          <w:szCs w:val="24"/>
          <w:lang w:val="es-ES"/>
        </w:rPr>
        <w:t xml:space="preserve"> Se invita a los Municipios a adherir a la presente.</w:t>
      </w:r>
    </w:p>
    <w:p w:rsidR="009B650F" w:rsidRPr="004B6F21" w:rsidRDefault="009B650F" w:rsidP="009B650F">
      <w:pPr>
        <w:spacing w:after="0" w:line="276" w:lineRule="auto"/>
        <w:jc w:val="both"/>
        <w:rPr>
          <w:rFonts w:ascii="Times New Roman" w:hAnsi="Times New Roman" w:cs="Times New Roman"/>
          <w:sz w:val="24"/>
          <w:szCs w:val="24"/>
          <w:lang w:val="es-ES"/>
        </w:rPr>
      </w:pPr>
    </w:p>
    <w:p w:rsidR="009B650F" w:rsidRPr="004B6F21" w:rsidRDefault="009B650F" w:rsidP="009B650F">
      <w:pPr>
        <w:spacing w:after="0" w:line="276" w:lineRule="auto"/>
        <w:jc w:val="both"/>
        <w:rPr>
          <w:rFonts w:ascii="Times New Roman" w:hAnsi="Times New Roman" w:cs="Times New Roman"/>
          <w:sz w:val="24"/>
          <w:szCs w:val="24"/>
          <w:lang w:val="es-ES"/>
        </w:rPr>
      </w:pPr>
      <w:r w:rsidRPr="004B6F21">
        <w:rPr>
          <w:rFonts w:ascii="Times New Roman" w:hAnsi="Times New Roman" w:cs="Times New Roman"/>
          <w:b/>
          <w:sz w:val="24"/>
          <w:szCs w:val="24"/>
          <w:lang w:val="es-ES"/>
        </w:rPr>
        <w:t>Artículo 17</w:t>
      </w:r>
      <w:r w:rsidR="00463F2E" w:rsidRPr="004B6F21">
        <w:rPr>
          <w:rFonts w:ascii="Times New Roman" w:hAnsi="Times New Roman" w:cs="Times New Roman"/>
          <w:b/>
          <w:sz w:val="24"/>
          <w:szCs w:val="24"/>
          <w:lang w:val="es-ES"/>
        </w:rPr>
        <w:t>.</w:t>
      </w:r>
      <w:r w:rsidRPr="004B6F21">
        <w:rPr>
          <w:rFonts w:ascii="Times New Roman" w:hAnsi="Times New Roman" w:cs="Times New Roman"/>
          <w:sz w:val="24"/>
          <w:szCs w:val="24"/>
          <w:lang w:val="es-ES"/>
        </w:rPr>
        <w:t xml:space="preserve"> Comuníquese al Poder Ejecutivo.</w:t>
      </w:r>
    </w:p>
    <w:p w:rsidR="004B6F21" w:rsidRPr="004B6F21" w:rsidRDefault="004B6F21" w:rsidP="009B650F">
      <w:pPr>
        <w:spacing w:after="0" w:line="276" w:lineRule="auto"/>
        <w:jc w:val="both"/>
        <w:rPr>
          <w:rFonts w:ascii="Times New Roman" w:hAnsi="Times New Roman" w:cs="Times New Roman"/>
          <w:sz w:val="24"/>
          <w:szCs w:val="24"/>
          <w:lang w:val="es-ES"/>
        </w:rPr>
      </w:pPr>
    </w:p>
    <w:p w:rsidR="004B6F21" w:rsidRDefault="004B6F21" w:rsidP="009B650F">
      <w:pPr>
        <w:spacing w:after="0" w:line="276" w:lineRule="auto"/>
        <w:jc w:val="both"/>
        <w:rPr>
          <w:rFonts w:ascii="Times New Roman" w:hAnsi="Times New Roman" w:cs="Times New Roman"/>
          <w:sz w:val="24"/>
          <w:szCs w:val="24"/>
          <w:lang w:val="es-ES"/>
        </w:rPr>
      </w:pPr>
    </w:p>
    <w:p w:rsidR="00B96770" w:rsidRPr="004B6F21" w:rsidRDefault="00B96770" w:rsidP="009B650F">
      <w:pPr>
        <w:spacing w:after="0" w:line="276" w:lineRule="auto"/>
        <w:jc w:val="both"/>
        <w:rPr>
          <w:rFonts w:ascii="Times New Roman" w:hAnsi="Times New Roman" w:cs="Times New Roman"/>
          <w:sz w:val="24"/>
          <w:szCs w:val="24"/>
          <w:lang w:val="es-ES"/>
        </w:rPr>
      </w:pPr>
    </w:p>
    <w:p w:rsidR="004B6F21" w:rsidRPr="004B6F21" w:rsidRDefault="004B6F21" w:rsidP="009B650F">
      <w:pPr>
        <w:spacing w:after="0" w:line="276" w:lineRule="auto"/>
        <w:jc w:val="both"/>
        <w:rPr>
          <w:rFonts w:ascii="Times New Roman" w:hAnsi="Times New Roman" w:cs="Times New Roman"/>
          <w:sz w:val="24"/>
          <w:szCs w:val="24"/>
          <w:lang w:val="es-ES"/>
        </w:rPr>
      </w:pPr>
    </w:p>
    <w:p w:rsidR="004B6F21" w:rsidRPr="004B6F21" w:rsidRDefault="004B6F21" w:rsidP="004B6F21">
      <w:pPr>
        <w:spacing w:after="0" w:line="276" w:lineRule="auto"/>
        <w:jc w:val="center"/>
        <w:rPr>
          <w:rFonts w:ascii="Times New Roman" w:hAnsi="Times New Roman" w:cs="Times New Roman"/>
          <w:b/>
          <w:sz w:val="24"/>
          <w:szCs w:val="24"/>
          <w:lang w:val="es-ES"/>
        </w:rPr>
      </w:pPr>
      <w:r w:rsidRPr="004B6F21">
        <w:rPr>
          <w:rFonts w:ascii="Times New Roman" w:hAnsi="Times New Roman" w:cs="Times New Roman"/>
          <w:b/>
          <w:sz w:val="24"/>
          <w:szCs w:val="24"/>
          <w:lang w:val="es-ES"/>
        </w:rPr>
        <w:lastRenderedPageBreak/>
        <w:t>FUNDAMENTOS</w:t>
      </w:r>
    </w:p>
    <w:p w:rsidR="004B6F21" w:rsidRPr="004B6F21" w:rsidRDefault="004B6F21" w:rsidP="004B6F21">
      <w:pPr>
        <w:spacing w:after="0" w:line="276" w:lineRule="auto"/>
        <w:jc w:val="center"/>
        <w:rPr>
          <w:rFonts w:ascii="Times New Roman" w:hAnsi="Times New Roman" w:cs="Times New Roman"/>
          <w:b/>
          <w:sz w:val="24"/>
          <w:szCs w:val="24"/>
          <w:lang w:val="es-ES"/>
        </w:rPr>
      </w:pP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 xml:space="preserve">El presente proyecto pretende </w:t>
      </w:r>
      <w:proofErr w:type="spellStart"/>
      <w:r w:rsidRPr="004B6F21">
        <w:rPr>
          <w:rFonts w:ascii="Times New Roman" w:eastAsia="NSimSun" w:hAnsi="Times New Roman" w:cs="Times New Roman"/>
          <w:kern w:val="2"/>
          <w:sz w:val="24"/>
          <w:szCs w:val="24"/>
          <w:lang w:val="es-AR" w:eastAsia="zh-CN" w:bidi="hi-IN"/>
        </w:rPr>
        <w:t>aggiornar</w:t>
      </w:r>
      <w:proofErr w:type="spellEnd"/>
      <w:r w:rsidRPr="004B6F21">
        <w:rPr>
          <w:rFonts w:ascii="Times New Roman" w:eastAsia="NSimSun" w:hAnsi="Times New Roman" w:cs="Times New Roman"/>
          <w:kern w:val="2"/>
          <w:sz w:val="24"/>
          <w:szCs w:val="24"/>
          <w:lang w:val="es-AR" w:eastAsia="zh-CN" w:bidi="hi-IN"/>
        </w:rPr>
        <w:t xml:space="preserve"> el actual régimen de declaraciones juradas de su patrimonio de los funcionarios públicos provinciales que determina an</w:t>
      </w:r>
      <w:r w:rsidR="008249D7">
        <w:rPr>
          <w:rFonts w:ascii="Times New Roman" w:eastAsia="NSimSun" w:hAnsi="Times New Roman" w:cs="Times New Roman"/>
          <w:kern w:val="2"/>
          <w:sz w:val="24"/>
          <w:szCs w:val="24"/>
          <w:lang w:val="es-AR" w:eastAsia="zh-CN" w:bidi="hi-IN"/>
        </w:rPr>
        <w:t xml:space="preserve">te una normativa que se revela </w:t>
      </w:r>
      <w:r w:rsidRPr="004B6F21">
        <w:rPr>
          <w:rFonts w:ascii="Times New Roman" w:eastAsia="NSimSun" w:hAnsi="Times New Roman" w:cs="Times New Roman"/>
          <w:kern w:val="2"/>
          <w:sz w:val="24"/>
          <w:szCs w:val="24"/>
          <w:lang w:val="es-AR" w:eastAsia="zh-CN" w:bidi="hi-IN"/>
        </w:rPr>
        <w:t>incongruente</w:t>
      </w:r>
      <w:r w:rsidR="008249D7">
        <w:rPr>
          <w:rFonts w:ascii="Times New Roman" w:eastAsia="NSimSun" w:hAnsi="Times New Roman" w:cs="Times New Roman"/>
          <w:kern w:val="2"/>
          <w:sz w:val="24"/>
          <w:szCs w:val="24"/>
          <w:lang w:val="es-AR" w:eastAsia="zh-CN" w:bidi="hi-IN"/>
        </w:rPr>
        <w:t>,</w:t>
      </w:r>
      <w:r w:rsidRPr="004B6F21">
        <w:rPr>
          <w:rFonts w:ascii="Times New Roman" w:eastAsia="NSimSun" w:hAnsi="Times New Roman" w:cs="Times New Roman"/>
          <w:kern w:val="2"/>
          <w:sz w:val="24"/>
          <w:szCs w:val="24"/>
          <w:lang w:val="es-AR" w:eastAsia="zh-CN" w:bidi="hi-IN"/>
        </w:rPr>
        <w:t xml:space="preserve"> con normas posteriores y de jerarquía superior e impotente con las crecientes demandas sociales de prevenir y condenar la corrupción y </w:t>
      </w:r>
      <w:r w:rsidR="008249D7">
        <w:rPr>
          <w:rFonts w:ascii="Times New Roman" w:eastAsia="NSimSun" w:hAnsi="Times New Roman" w:cs="Times New Roman"/>
          <w:kern w:val="2"/>
          <w:sz w:val="24"/>
          <w:szCs w:val="24"/>
          <w:lang w:val="es-AR" w:eastAsia="zh-CN" w:bidi="hi-IN"/>
        </w:rPr>
        <w:t>promover</w:t>
      </w:r>
      <w:r w:rsidRPr="004B6F21">
        <w:rPr>
          <w:rFonts w:ascii="Times New Roman" w:eastAsia="NSimSun" w:hAnsi="Times New Roman" w:cs="Times New Roman"/>
          <w:kern w:val="2"/>
          <w:sz w:val="24"/>
          <w:szCs w:val="24"/>
          <w:lang w:val="es-AR" w:eastAsia="zh-CN" w:bidi="hi-IN"/>
        </w:rPr>
        <w:t xml:space="preserve"> prácticas más transparentes. </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La ley 5 fue sancionada en el año 1958, cuando el Estado provincial neuquino daba sus primeros pasos. La misma comprendía un pequeño universo de funcionarios públicos                   -artículo 2- y la información era secreta -artículo 5-, sólo accesible en caso</w:t>
      </w:r>
      <w:r w:rsidR="008249D7">
        <w:rPr>
          <w:rFonts w:ascii="Times New Roman" w:eastAsia="NSimSun" w:hAnsi="Times New Roman" w:cs="Times New Roman"/>
          <w:kern w:val="2"/>
          <w:sz w:val="24"/>
          <w:szCs w:val="24"/>
          <w:lang w:val="es-AR" w:eastAsia="zh-CN" w:bidi="hi-IN"/>
        </w:rPr>
        <w:t>s</w:t>
      </w:r>
      <w:r w:rsidRPr="004B6F21">
        <w:rPr>
          <w:rFonts w:ascii="Times New Roman" w:eastAsia="NSimSun" w:hAnsi="Times New Roman" w:cs="Times New Roman"/>
          <w:kern w:val="2"/>
          <w:sz w:val="24"/>
          <w:szCs w:val="24"/>
          <w:lang w:val="es-AR" w:eastAsia="zh-CN" w:bidi="hi-IN"/>
        </w:rPr>
        <w:t xml:space="preserve"> excepcionales, como ser por pedido del firmante o sus herederos, requerimiento de juez competente -artículo 5- e investigación efectu</w:t>
      </w:r>
      <w:r w:rsidR="008249D7">
        <w:rPr>
          <w:rFonts w:ascii="Times New Roman" w:eastAsia="NSimSun" w:hAnsi="Times New Roman" w:cs="Times New Roman"/>
          <w:kern w:val="2"/>
          <w:sz w:val="24"/>
          <w:szCs w:val="24"/>
          <w:lang w:val="es-AR" w:eastAsia="zh-CN" w:bidi="hi-IN"/>
        </w:rPr>
        <w:t>ada</w:t>
      </w:r>
      <w:r w:rsidRPr="004B6F21">
        <w:rPr>
          <w:rFonts w:ascii="Times New Roman" w:eastAsia="NSimSun" w:hAnsi="Times New Roman" w:cs="Times New Roman"/>
          <w:kern w:val="2"/>
          <w:sz w:val="24"/>
          <w:szCs w:val="24"/>
          <w:lang w:val="es-AR" w:eastAsia="zh-CN" w:bidi="hi-IN"/>
        </w:rPr>
        <w:t xml:space="preserve"> en el marco del procedimiento del artículo 7. </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Sin embargo</w:t>
      </w:r>
      <w:r w:rsidR="008249D7">
        <w:rPr>
          <w:rFonts w:ascii="Times New Roman" w:eastAsia="NSimSun" w:hAnsi="Times New Roman" w:cs="Times New Roman"/>
          <w:kern w:val="2"/>
          <w:sz w:val="24"/>
          <w:szCs w:val="24"/>
          <w:lang w:val="es-AR" w:eastAsia="zh-CN" w:bidi="hi-IN"/>
        </w:rPr>
        <w:t>,</w:t>
      </w:r>
      <w:r w:rsidRPr="004B6F21">
        <w:rPr>
          <w:rFonts w:ascii="Times New Roman" w:eastAsia="NSimSun" w:hAnsi="Times New Roman" w:cs="Times New Roman"/>
          <w:kern w:val="2"/>
          <w:sz w:val="24"/>
          <w:szCs w:val="24"/>
          <w:lang w:val="es-AR" w:eastAsia="zh-CN" w:bidi="hi-IN"/>
        </w:rPr>
        <w:t xml:space="preserve"> los tiempos cambiaron, pasó demasiada agua bajo el puente en sus ya más de seis (6) décadas de vigencia. Paradójicamente, por un lado, aumentaron las prácticas corruptas y su </w:t>
      </w:r>
      <w:r w:rsidR="008249D7">
        <w:rPr>
          <w:rFonts w:ascii="Times New Roman" w:eastAsia="NSimSun" w:hAnsi="Times New Roman" w:cs="Times New Roman"/>
          <w:kern w:val="2"/>
          <w:sz w:val="24"/>
          <w:szCs w:val="24"/>
          <w:lang w:val="es-AR" w:eastAsia="zh-CN" w:bidi="hi-IN"/>
        </w:rPr>
        <w:t>visibilización</w:t>
      </w:r>
      <w:r w:rsidRPr="004B6F21">
        <w:rPr>
          <w:rFonts w:ascii="Times New Roman" w:eastAsia="NSimSun" w:hAnsi="Times New Roman" w:cs="Times New Roman"/>
          <w:kern w:val="2"/>
          <w:sz w:val="24"/>
          <w:szCs w:val="24"/>
          <w:lang w:val="es-AR" w:eastAsia="zh-CN" w:bidi="hi-IN"/>
        </w:rPr>
        <w:t xml:space="preserve"> por medios de comunicación y, por otro lado, las demandas sociales de acceso a la información pública y sancionar esta práctica tan nefasta y como corrosiva para el sistema. Paralelamente, también se avanzó en un plexo normativo para prevenir y erradicar la corrupción, generando obligaciones a los Estados y a sus funcionarios públicos y agentes.</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La Constitución Nacional, reformada en 1994, si bien no menciona la palabra “corrupción” se inspira en un Estado constitucional de Derecho, con la democracia como sistema de vida y en la promoción de mayor transparencia.</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Por su parte, la Constitución de la Provincia del Neuquén, reformada en el 2006, sólo establece con dicho rango legal la DDJJ de los “</w:t>
      </w:r>
      <w:r w:rsidRPr="004B6F21">
        <w:rPr>
          <w:rFonts w:ascii="Times New Roman" w:eastAsia="NSimSun" w:hAnsi="Times New Roman" w:cs="Times New Roman"/>
          <w:i/>
          <w:iCs/>
          <w:kern w:val="2"/>
          <w:sz w:val="24"/>
          <w:szCs w:val="24"/>
          <w:lang w:val="es-AR" w:eastAsia="zh-CN" w:bidi="hi-IN"/>
        </w:rPr>
        <w:t>jueces y demás funcionarios judiciales</w:t>
      </w:r>
      <w:r w:rsidRPr="004B6F21">
        <w:rPr>
          <w:rFonts w:ascii="Times New Roman" w:eastAsia="NSimSun" w:hAnsi="Times New Roman" w:cs="Times New Roman"/>
          <w:kern w:val="2"/>
          <w:sz w:val="24"/>
          <w:szCs w:val="24"/>
          <w:lang w:val="es-AR" w:eastAsia="zh-CN" w:bidi="hi-IN"/>
        </w:rPr>
        <w:t>” en el artículo 232.</w:t>
      </w:r>
    </w:p>
    <w:p w:rsidR="004B6F21" w:rsidRPr="004B6F21" w:rsidRDefault="007742E1" w:rsidP="004B6F21">
      <w:pPr>
        <w:suppressAutoHyphens/>
        <w:spacing w:after="0" w:line="360" w:lineRule="auto"/>
        <w:jc w:val="both"/>
        <w:rPr>
          <w:rFonts w:ascii="Times New Roman" w:eastAsia="NSimSun" w:hAnsi="Times New Roman" w:cs="Times New Roman"/>
          <w:kern w:val="2"/>
          <w:sz w:val="24"/>
          <w:szCs w:val="24"/>
          <w:lang w:val="es-AR" w:eastAsia="zh-CN" w:bidi="hi-IN"/>
        </w:rPr>
      </w:pPr>
      <w:r>
        <w:rPr>
          <w:rFonts w:ascii="Times New Roman" w:eastAsia="NSimSun" w:hAnsi="Times New Roman" w:cs="Times New Roman"/>
          <w:kern w:val="2"/>
          <w:sz w:val="24"/>
          <w:szCs w:val="24"/>
          <w:lang w:val="es-AR" w:eastAsia="zh-CN" w:bidi="hi-IN"/>
        </w:rPr>
        <w:lastRenderedPageBreak/>
        <w:t>La l</w:t>
      </w:r>
      <w:r w:rsidR="004B6F21" w:rsidRPr="004B6F21">
        <w:rPr>
          <w:rFonts w:ascii="Times New Roman" w:eastAsia="NSimSun" w:hAnsi="Times New Roman" w:cs="Times New Roman"/>
          <w:kern w:val="2"/>
          <w:sz w:val="24"/>
          <w:szCs w:val="24"/>
          <w:lang w:val="es-AR" w:eastAsia="zh-CN" w:bidi="hi-IN"/>
        </w:rPr>
        <w:t xml:space="preserve">ey 24759, sancionada en 1996, aprueba la Convención </w:t>
      </w:r>
      <w:r w:rsidR="008249D7" w:rsidRPr="004B6F21">
        <w:rPr>
          <w:rFonts w:ascii="Times New Roman" w:eastAsia="NSimSun" w:hAnsi="Times New Roman" w:cs="Times New Roman"/>
          <w:kern w:val="2"/>
          <w:sz w:val="24"/>
          <w:szCs w:val="24"/>
          <w:lang w:val="es-AR" w:eastAsia="zh-CN" w:bidi="hi-IN"/>
        </w:rPr>
        <w:t>Interamericana</w:t>
      </w:r>
      <w:r w:rsidR="004B6F21" w:rsidRPr="004B6F21">
        <w:rPr>
          <w:rFonts w:ascii="Times New Roman" w:eastAsia="NSimSun" w:hAnsi="Times New Roman" w:cs="Times New Roman"/>
          <w:kern w:val="2"/>
          <w:sz w:val="24"/>
          <w:szCs w:val="24"/>
          <w:lang w:val="es-AR" w:eastAsia="zh-CN" w:bidi="hi-IN"/>
        </w:rPr>
        <w:t xml:space="preserve"> contra la Corrupción. La misma se fundamenta, entre otras cuestiones, en que “...la corrupción socava la legitimidad de las instituciones públicas, atenta contra la sociedad, el orden moral y la justicia, así como contra el desarrollo integral de los pueblos…” y en que “...el combate contra la corrupción fortalece las instituciones democráticas, evita distorsiones de la economía, vicios en la gestión </w:t>
      </w:r>
      <w:r w:rsidR="008249D7" w:rsidRPr="004B6F21">
        <w:rPr>
          <w:rFonts w:ascii="Times New Roman" w:eastAsia="NSimSun" w:hAnsi="Times New Roman" w:cs="Times New Roman"/>
          <w:kern w:val="2"/>
          <w:sz w:val="24"/>
          <w:szCs w:val="24"/>
          <w:lang w:val="es-AR" w:eastAsia="zh-CN" w:bidi="hi-IN"/>
        </w:rPr>
        <w:t>pública</w:t>
      </w:r>
      <w:r w:rsidR="004B6F21" w:rsidRPr="004B6F21">
        <w:rPr>
          <w:rFonts w:ascii="Times New Roman" w:eastAsia="NSimSun" w:hAnsi="Times New Roman" w:cs="Times New Roman"/>
          <w:kern w:val="2"/>
          <w:sz w:val="24"/>
          <w:szCs w:val="24"/>
          <w:lang w:val="es-AR" w:eastAsia="zh-CN" w:bidi="hi-IN"/>
        </w:rPr>
        <w:t xml:space="preserve"> y el deterioro de la moral social…”.</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Por su parte, posteriormente la ley 26097 en el año 2006 se aprobó la Convención de las Naciones Unidas contra la Corrupción que reconoce los “...problemas y las amenazas que plantea la corrupción para la estabilidad y seguridad de las sociedades al socavar las instituciones y los valores de la democracia, la ética y la justicia y al comprometer el desarrollo sostenible y el imperio de la ley...”</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El Objetivo 16 de los Objetivos de Desarrollo Sostenible (ODS) establece la “lucha contra la corrupción” para el fortalecimiento del Estado de Derecho y la promoción de los Derechos Humanos. Esta Legislatura ha sancionado oportunamente, por un lado, la Resolución 1101 y, por otro lado, la Comunicación 266 sosteniendo el “</w:t>
      </w:r>
      <w:r w:rsidRPr="004B6F21">
        <w:rPr>
          <w:rFonts w:ascii="Times New Roman" w:eastAsia="NSimSun" w:hAnsi="Times New Roman" w:cs="Times New Roman"/>
          <w:i/>
          <w:iCs/>
          <w:kern w:val="2"/>
          <w:sz w:val="24"/>
          <w:szCs w:val="24"/>
          <w:lang w:val="es-AR" w:eastAsia="zh-CN" w:bidi="hi-IN"/>
        </w:rPr>
        <w:t>compromiso con el sostenimiento de los Objetivos de Desarrollo Sostenible de la Agenda 2030, como guía fundamental para el desarrollo provincial</w:t>
      </w:r>
      <w:r w:rsidRPr="004B6F21">
        <w:rPr>
          <w:rFonts w:ascii="Times New Roman" w:eastAsia="NSimSun" w:hAnsi="Times New Roman" w:cs="Times New Roman"/>
          <w:kern w:val="2"/>
          <w:sz w:val="24"/>
          <w:szCs w:val="24"/>
          <w:lang w:val="es-AR" w:eastAsia="zh-CN" w:bidi="hi-IN"/>
        </w:rPr>
        <w:t xml:space="preserve">” (artículo 2). </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El fallecido premio Nobel de literatura Mario Vargas Llosa, en su libro “El pez en el agua” (1993) dice que “</w:t>
      </w:r>
      <w:r w:rsidRPr="004B6F21">
        <w:rPr>
          <w:rFonts w:ascii="Times New Roman" w:eastAsia="NSimSun" w:hAnsi="Times New Roman" w:cs="Times New Roman"/>
          <w:i/>
          <w:iCs/>
          <w:kern w:val="2"/>
          <w:sz w:val="24"/>
          <w:szCs w:val="24"/>
          <w:lang w:val="es-AR" w:eastAsia="zh-CN" w:bidi="hi-IN"/>
        </w:rPr>
        <w:t xml:space="preserve">Nada </w:t>
      </w:r>
      <w:proofErr w:type="spellStart"/>
      <w:r w:rsidRPr="004B6F21">
        <w:rPr>
          <w:rFonts w:ascii="Times New Roman" w:eastAsia="NSimSun" w:hAnsi="Times New Roman" w:cs="Times New Roman"/>
          <w:i/>
          <w:iCs/>
          <w:kern w:val="2"/>
          <w:sz w:val="24"/>
          <w:szCs w:val="24"/>
          <w:lang w:val="es-AR" w:eastAsia="zh-CN" w:bidi="hi-IN"/>
        </w:rPr>
        <w:t>despresitigia</w:t>
      </w:r>
      <w:proofErr w:type="spellEnd"/>
      <w:r w:rsidRPr="004B6F21">
        <w:rPr>
          <w:rFonts w:ascii="Times New Roman" w:eastAsia="NSimSun" w:hAnsi="Times New Roman" w:cs="Times New Roman"/>
          <w:i/>
          <w:iCs/>
          <w:kern w:val="2"/>
          <w:sz w:val="24"/>
          <w:szCs w:val="24"/>
          <w:lang w:val="es-AR" w:eastAsia="zh-CN" w:bidi="hi-IN"/>
        </w:rPr>
        <w:t xml:space="preserve"> y trabaja tanto por el desplome de la democracia como la corrupción</w:t>
      </w:r>
      <w:r w:rsidRPr="004B6F21">
        <w:rPr>
          <w:rFonts w:ascii="Times New Roman" w:eastAsia="NSimSun" w:hAnsi="Times New Roman" w:cs="Times New Roman"/>
          <w:kern w:val="2"/>
          <w:sz w:val="24"/>
          <w:szCs w:val="24"/>
          <w:lang w:val="es-AR" w:eastAsia="zh-CN" w:bidi="hi-IN"/>
        </w:rPr>
        <w:t xml:space="preserve">”. </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 xml:space="preserve">En el libro “Como mueren las democracias” (2018) los autores </w:t>
      </w:r>
      <w:proofErr w:type="spellStart"/>
      <w:r w:rsidRPr="004B6F21">
        <w:rPr>
          <w:rFonts w:ascii="Times New Roman" w:eastAsia="NSimSun" w:hAnsi="Times New Roman" w:cs="Times New Roman"/>
          <w:kern w:val="2"/>
          <w:sz w:val="24"/>
          <w:szCs w:val="24"/>
          <w:lang w:val="es-AR" w:eastAsia="zh-CN" w:bidi="hi-IN"/>
        </w:rPr>
        <w:t>Levitsky</w:t>
      </w:r>
      <w:proofErr w:type="spellEnd"/>
      <w:r w:rsidRPr="004B6F21">
        <w:rPr>
          <w:rFonts w:ascii="Times New Roman" w:eastAsia="NSimSun" w:hAnsi="Times New Roman" w:cs="Times New Roman"/>
          <w:kern w:val="2"/>
          <w:sz w:val="24"/>
          <w:szCs w:val="24"/>
          <w:lang w:val="es-AR" w:eastAsia="zh-CN" w:bidi="hi-IN"/>
        </w:rPr>
        <w:t xml:space="preserve"> y </w:t>
      </w:r>
      <w:proofErr w:type="spellStart"/>
      <w:r w:rsidRPr="004B6F21">
        <w:rPr>
          <w:rFonts w:ascii="Times New Roman" w:eastAsia="NSimSun" w:hAnsi="Times New Roman" w:cs="Times New Roman"/>
          <w:kern w:val="2"/>
          <w:sz w:val="24"/>
          <w:szCs w:val="24"/>
          <w:lang w:val="es-AR" w:eastAsia="zh-CN" w:bidi="hi-IN"/>
        </w:rPr>
        <w:t>Ziblatt</w:t>
      </w:r>
      <w:proofErr w:type="spellEnd"/>
      <w:r w:rsidRPr="004B6F21">
        <w:rPr>
          <w:rFonts w:ascii="Times New Roman" w:eastAsia="NSimSun" w:hAnsi="Times New Roman" w:cs="Times New Roman"/>
          <w:kern w:val="2"/>
          <w:sz w:val="24"/>
          <w:szCs w:val="24"/>
          <w:lang w:val="es-AR" w:eastAsia="zh-CN" w:bidi="hi-IN"/>
        </w:rPr>
        <w:t xml:space="preserve"> refiere a reglas esenciales, no escritas pero trascendentes, para la salud de la democracia. Entre ellas figuran “</w:t>
      </w:r>
      <w:r w:rsidRPr="004B6F21">
        <w:rPr>
          <w:rFonts w:ascii="Times New Roman" w:eastAsia="NSimSun" w:hAnsi="Times New Roman" w:cs="Times New Roman"/>
          <w:i/>
          <w:iCs/>
          <w:kern w:val="2"/>
          <w:sz w:val="24"/>
          <w:szCs w:val="24"/>
          <w:lang w:val="es-AR" w:eastAsia="zh-CN" w:bidi="hi-IN"/>
        </w:rPr>
        <w:t>algunas normas de toda la vida que separan los asuntos privados de los públicos</w:t>
      </w:r>
      <w:r w:rsidRPr="004B6F21">
        <w:rPr>
          <w:rFonts w:ascii="Times New Roman" w:eastAsia="NSimSun" w:hAnsi="Times New Roman" w:cs="Times New Roman"/>
          <w:kern w:val="2"/>
          <w:sz w:val="24"/>
          <w:szCs w:val="24"/>
          <w:lang w:val="es-AR" w:eastAsia="zh-CN" w:bidi="hi-IN"/>
        </w:rPr>
        <w:t>”.</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NSimSun" w:hAnsi="Times New Roman" w:cs="Times New Roman"/>
          <w:kern w:val="2"/>
          <w:sz w:val="24"/>
          <w:szCs w:val="24"/>
          <w:lang w:val="es-AR" w:eastAsia="zh-CN" w:bidi="hi-IN"/>
        </w:rPr>
        <w:t xml:space="preserve">Ciertos sectores argumentan que hacer públicas las declaraciones de los funcionarios atenta contra su privacidad y su seguridad personales. Este argumento no resiste el menor análisis </w:t>
      </w:r>
      <w:r w:rsidRPr="004B6F21">
        <w:rPr>
          <w:rFonts w:ascii="Times New Roman" w:eastAsia="NSimSun" w:hAnsi="Times New Roman" w:cs="Times New Roman"/>
          <w:kern w:val="2"/>
          <w:sz w:val="24"/>
          <w:szCs w:val="24"/>
          <w:lang w:val="es-AR" w:eastAsia="zh-CN" w:bidi="hi-IN"/>
        </w:rPr>
        <w:lastRenderedPageBreak/>
        <w:t xml:space="preserve">pues las personas han elegido libremente ejercer dichas funciones y tienen absoluta libertad para dar un paso al costado. </w:t>
      </w:r>
      <w:r w:rsidR="007742E1">
        <w:rPr>
          <w:rFonts w:ascii="Times New Roman" w:eastAsia="NSimSun" w:hAnsi="Times New Roman" w:cs="Times New Roman"/>
          <w:kern w:val="2"/>
          <w:sz w:val="24"/>
          <w:szCs w:val="24"/>
          <w:lang w:val="es-AR" w:eastAsia="zh-CN" w:bidi="hi-IN"/>
        </w:rPr>
        <w:t>Además, las DDJJ no implican publicidad de datos que permitan identificar los domicilios o poner en riesgo a los declarantes.</w:t>
      </w:r>
    </w:p>
    <w:p w:rsidR="004B6F21" w:rsidRPr="004B6F21" w:rsidRDefault="004B6F21" w:rsidP="004B6F21">
      <w:pPr>
        <w:suppressAutoHyphens/>
        <w:spacing w:after="0" w:line="360" w:lineRule="auto"/>
        <w:jc w:val="both"/>
        <w:rPr>
          <w:rFonts w:ascii="Times New Roman" w:eastAsia="Tahoma" w:hAnsi="Times New Roman" w:cs="Times New Roman"/>
          <w:kern w:val="2"/>
          <w:sz w:val="24"/>
          <w:szCs w:val="24"/>
          <w:lang w:val="es-ES" w:eastAsia="zh-CN" w:bidi="hi-IN"/>
        </w:rPr>
      </w:pPr>
      <w:r w:rsidRPr="004B6F21">
        <w:rPr>
          <w:rFonts w:ascii="Times New Roman" w:eastAsia="NSimSun" w:hAnsi="Times New Roman" w:cs="Times New Roman"/>
          <w:kern w:val="2"/>
          <w:sz w:val="24"/>
          <w:szCs w:val="24"/>
          <w:lang w:val="es-AR" w:eastAsia="zh-CN" w:bidi="hi-IN"/>
        </w:rPr>
        <w:t xml:space="preserve">La propia Corte Suprema de Justicia de la Nación, máximo Tribunal Federal, en el </w:t>
      </w:r>
      <w:proofErr w:type="spellStart"/>
      <w:r w:rsidRPr="004B6F21">
        <w:rPr>
          <w:rFonts w:ascii="Times New Roman" w:eastAsia="NSimSun" w:hAnsi="Times New Roman" w:cs="Times New Roman"/>
          <w:i/>
          <w:iCs/>
          <w:kern w:val="2"/>
          <w:sz w:val="24"/>
          <w:szCs w:val="24"/>
          <w:lang w:val="es-AR" w:eastAsia="zh-CN" w:bidi="hi-IN"/>
        </w:rPr>
        <w:t>leading</w:t>
      </w:r>
      <w:proofErr w:type="spellEnd"/>
      <w:r w:rsidRPr="004B6F21">
        <w:rPr>
          <w:rFonts w:ascii="Times New Roman" w:eastAsia="NSimSun" w:hAnsi="Times New Roman" w:cs="Times New Roman"/>
          <w:i/>
          <w:iCs/>
          <w:kern w:val="2"/>
          <w:sz w:val="24"/>
          <w:szCs w:val="24"/>
          <w:lang w:val="es-AR" w:eastAsia="zh-CN" w:bidi="hi-IN"/>
        </w:rPr>
        <w:t xml:space="preserve"> case</w:t>
      </w:r>
      <w:r w:rsidRPr="004B6F21">
        <w:rPr>
          <w:rFonts w:ascii="Times New Roman" w:eastAsia="NSimSun" w:hAnsi="Times New Roman" w:cs="Times New Roman"/>
          <w:kern w:val="2"/>
          <w:sz w:val="24"/>
          <w:szCs w:val="24"/>
          <w:lang w:val="es-AR" w:eastAsia="zh-CN" w:bidi="hi-IN"/>
        </w:rPr>
        <w:t xml:space="preserve"> “</w:t>
      </w:r>
      <w:proofErr w:type="spellStart"/>
      <w:r w:rsidRPr="004B6F21">
        <w:rPr>
          <w:rFonts w:ascii="Times New Roman" w:eastAsia="NSimSun" w:hAnsi="Times New Roman" w:cs="Times New Roman"/>
          <w:kern w:val="2"/>
          <w:sz w:val="24"/>
          <w:szCs w:val="24"/>
          <w:lang w:val="es-AR" w:eastAsia="zh-CN" w:bidi="hi-IN"/>
        </w:rPr>
        <w:t>Ponzetti</w:t>
      </w:r>
      <w:proofErr w:type="spellEnd"/>
      <w:r w:rsidRPr="004B6F21">
        <w:rPr>
          <w:rFonts w:ascii="Times New Roman" w:eastAsia="NSimSun" w:hAnsi="Times New Roman" w:cs="Times New Roman"/>
          <w:kern w:val="2"/>
          <w:sz w:val="24"/>
          <w:szCs w:val="24"/>
          <w:lang w:val="es-AR" w:eastAsia="zh-CN" w:bidi="hi-IN"/>
        </w:rPr>
        <w:t xml:space="preserve"> de Balbín” (1984) estableció que “</w:t>
      </w:r>
      <w:r w:rsidRPr="004B6F21">
        <w:rPr>
          <w:rFonts w:ascii="Times New Roman" w:eastAsia="NSimSun" w:hAnsi="Times New Roman" w:cs="Times New Roman"/>
          <w:i/>
          <w:iCs/>
          <w:kern w:val="2"/>
          <w:sz w:val="24"/>
          <w:szCs w:val="24"/>
          <w:lang w:val="es-AR" w:eastAsia="zh-CN" w:bidi="hi-IN"/>
        </w:rPr>
        <w:t xml:space="preserve">...el derecho a la privacidad e intimidad que surge del artículo 19 de la Constitución Nacional protege el ámbito de autonomía individual. Ahora bien, </w:t>
      </w:r>
      <w:r w:rsidRPr="004B6F21">
        <w:rPr>
          <w:rFonts w:ascii="Times New Roman" w:eastAsia="NSimSun" w:hAnsi="Times New Roman" w:cs="Times New Roman"/>
          <w:b/>
          <w:bCs/>
          <w:i/>
          <w:iCs/>
          <w:kern w:val="2"/>
          <w:sz w:val="24"/>
          <w:szCs w:val="24"/>
          <w:lang w:val="es-AR" w:eastAsia="zh-CN" w:bidi="hi-IN"/>
        </w:rPr>
        <w:t>cuando se trate de personas públicas o populares, podrá divulgarse todo aquello que se relacione con la actividad por la cual son públicamente conocidos, y siempre que se encuentre involucrado el interés general</w:t>
      </w:r>
      <w:r w:rsidRPr="004B6F21">
        <w:rPr>
          <w:rFonts w:ascii="Times New Roman" w:eastAsia="NSimSun" w:hAnsi="Times New Roman" w:cs="Times New Roman"/>
          <w:kern w:val="2"/>
          <w:sz w:val="24"/>
          <w:szCs w:val="24"/>
          <w:lang w:val="es-AR" w:eastAsia="zh-CN" w:bidi="hi-IN"/>
        </w:rPr>
        <w:t>” -énfasis agregado-.</w:t>
      </w:r>
    </w:p>
    <w:p w:rsidR="004B6F21" w:rsidRPr="004B6F21" w:rsidRDefault="004B6F21" w:rsidP="004B6F21">
      <w:pPr>
        <w:suppressAutoHyphens/>
        <w:spacing w:after="0" w:line="360" w:lineRule="auto"/>
        <w:jc w:val="both"/>
        <w:rPr>
          <w:rFonts w:ascii="Times New Roman" w:eastAsia="Tahoma" w:hAnsi="Times New Roman" w:cs="Times New Roman"/>
          <w:kern w:val="2"/>
          <w:sz w:val="24"/>
          <w:szCs w:val="24"/>
          <w:lang w:val="es-ES" w:eastAsia="zh-CN" w:bidi="hi-IN"/>
        </w:rPr>
      </w:pPr>
      <w:r w:rsidRPr="004B6F21">
        <w:rPr>
          <w:rFonts w:ascii="Times New Roman" w:eastAsia="Tahoma" w:hAnsi="Times New Roman" w:cs="Times New Roman"/>
          <w:kern w:val="2"/>
          <w:sz w:val="24"/>
          <w:szCs w:val="24"/>
          <w:lang w:val="es-ES" w:eastAsia="zh-CN" w:bidi="hi-IN"/>
        </w:rPr>
        <w:t xml:space="preserve">A mayor abundamiento, la Corte Interamericana de Derechos Humanos (CIDH) en el </w:t>
      </w:r>
      <w:r w:rsidRPr="004B6F21">
        <w:rPr>
          <w:rFonts w:ascii="Times New Roman" w:eastAsia="Times New Roman" w:hAnsi="Times New Roman" w:cs="Times New Roman"/>
          <w:kern w:val="2"/>
          <w:sz w:val="24"/>
          <w:szCs w:val="24"/>
          <w:lang w:val="es" w:eastAsia="es-AR" w:bidi="hi-IN"/>
        </w:rPr>
        <w:t>fallo dictado en el caso “Claude Reyes c/ Chile” (2006) estableció que “</w:t>
      </w:r>
      <w:r w:rsidRPr="004B6F21">
        <w:rPr>
          <w:rFonts w:ascii="Times New Roman" w:eastAsia="Times New Roman" w:hAnsi="Times New Roman" w:cs="Times New Roman"/>
          <w:i/>
          <w:iCs/>
          <w:kern w:val="2"/>
          <w:sz w:val="24"/>
          <w:szCs w:val="24"/>
          <w:lang w:val="es" w:eastAsia="es-AR" w:bidi="hi-IN"/>
        </w:rPr>
        <w:t>...</w:t>
      </w:r>
      <w:r w:rsidRPr="004B6F21">
        <w:rPr>
          <w:rFonts w:ascii="Times New Roman" w:eastAsia="Times New Roman" w:hAnsi="Times New Roman" w:cs="Times New Roman"/>
          <w:b/>
          <w:bCs/>
          <w:i/>
          <w:iCs/>
          <w:kern w:val="2"/>
          <w:sz w:val="24"/>
          <w:szCs w:val="24"/>
          <w:lang w:val="es-ES" w:eastAsia="es-AR" w:bidi="hi-IN"/>
        </w:rPr>
        <w:t>el actuar del Estado debe</w:t>
      </w:r>
      <w:r w:rsidRPr="004B6F21">
        <w:rPr>
          <w:rFonts w:ascii="Times New Roman" w:eastAsia="Times New Roman" w:hAnsi="Times New Roman" w:cs="Times New Roman"/>
          <w:b/>
          <w:bCs/>
          <w:i/>
          <w:iCs/>
          <w:kern w:val="2"/>
          <w:sz w:val="24"/>
          <w:szCs w:val="24"/>
          <w:lang w:val="es" w:eastAsia="es-AR" w:bidi="hi-IN"/>
        </w:rPr>
        <w:t xml:space="preserve"> </w:t>
      </w:r>
      <w:r w:rsidRPr="004B6F21">
        <w:rPr>
          <w:rFonts w:ascii="Times New Roman" w:eastAsia="Times New Roman" w:hAnsi="Times New Roman" w:cs="Times New Roman"/>
          <w:b/>
          <w:bCs/>
          <w:i/>
          <w:iCs/>
          <w:kern w:val="2"/>
          <w:sz w:val="24"/>
          <w:szCs w:val="24"/>
          <w:lang w:val="es-ES" w:eastAsia="es-AR" w:bidi="hi-IN"/>
        </w:rPr>
        <w:t>encontrarse regido por los</w:t>
      </w:r>
      <w:r w:rsidRPr="004B6F21">
        <w:rPr>
          <w:rFonts w:ascii="Times New Roman" w:eastAsia="Times New Roman" w:hAnsi="Times New Roman" w:cs="Times New Roman"/>
          <w:i/>
          <w:iCs/>
          <w:kern w:val="2"/>
          <w:sz w:val="24"/>
          <w:szCs w:val="24"/>
          <w:lang w:val="es-ES" w:eastAsia="es-AR" w:bidi="hi-IN"/>
        </w:rPr>
        <w:t xml:space="preserve"> </w:t>
      </w:r>
      <w:r w:rsidRPr="004B6F21">
        <w:rPr>
          <w:rFonts w:ascii="Times New Roman" w:eastAsia="Times New Roman" w:hAnsi="Times New Roman" w:cs="Times New Roman"/>
          <w:b/>
          <w:bCs/>
          <w:i/>
          <w:iCs/>
          <w:kern w:val="2"/>
          <w:sz w:val="24"/>
          <w:szCs w:val="24"/>
          <w:lang w:val="es-ES" w:eastAsia="es-AR" w:bidi="hi-IN"/>
        </w:rPr>
        <w:t>principios de publicidad y transparencia en la gestión pública</w:t>
      </w:r>
      <w:r w:rsidRPr="004B6F21">
        <w:rPr>
          <w:rFonts w:ascii="Times New Roman" w:eastAsia="Times New Roman" w:hAnsi="Times New Roman" w:cs="Times New Roman"/>
          <w:i/>
          <w:iCs/>
          <w:kern w:val="2"/>
          <w:sz w:val="24"/>
          <w:szCs w:val="24"/>
          <w:lang w:val="es-ES" w:eastAsia="es-AR" w:bidi="hi-IN"/>
        </w:rPr>
        <w:t>, lo que hace</w:t>
      </w:r>
      <w:r w:rsidRPr="004B6F21">
        <w:rPr>
          <w:rFonts w:ascii="Times New Roman" w:eastAsia="Times New Roman" w:hAnsi="Times New Roman" w:cs="Times New Roman"/>
          <w:i/>
          <w:iCs/>
          <w:kern w:val="2"/>
          <w:sz w:val="24"/>
          <w:szCs w:val="24"/>
          <w:lang w:val="es" w:eastAsia="es-AR" w:bidi="hi-IN"/>
        </w:rPr>
        <w:t xml:space="preserve"> </w:t>
      </w:r>
      <w:r w:rsidRPr="004B6F21">
        <w:rPr>
          <w:rFonts w:ascii="Times New Roman" w:eastAsia="Times New Roman" w:hAnsi="Times New Roman" w:cs="Times New Roman"/>
          <w:i/>
          <w:iCs/>
          <w:kern w:val="2"/>
          <w:sz w:val="24"/>
          <w:szCs w:val="24"/>
          <w:lang w:val="es-ES" w:eastAsia="es-AR" w:bidi="hi-IN"/>
        </w:rPr>
        <w:t>posible que las personas que se encuentran bajo su jurisdicción ejerzan el control democrático de las</w:t>
      </w:r>
      <w:r w:rsidRPr="004B6F21">
        <w:rPr>
          <w:rFonts w:ascii="Times New Roman" w:eastAsia="Times New Roman" w:hAnsi="Times New Roman" w:cs="Times New Roman"/>
          <w:i/>
          <w:iCs/>
          <w:kern w:val="2"/>
          <w:sz w:val="24"/>
          <w:szCs w:val="24"/>
          <w:lang w:val="es" w:eastAsia="es-AR" w:bidi="hi-IN"/>
        </w:rPr>
        <w:t xml:space="preserve"> </w:t>
      </w:r>
      <w:r w:rsidRPr="004B6F21">
        <w:rPr>
          <w:rFonts w:ascii="Times New Roman" w:eastAsia="Times New Roman" w:hAnsi="Times New Roman" w:cs="Times New Roman"/>
          <w:i/>
          <w:iCs/>
          <w:kern w:val="2"/>
          <w:sz w:val="24"/>
          <w:szCs w:val="24"/>
          <w:lang w:val="es-ES" w:eastAsia="es-AR" w:bidi="hi-IN"/>
        </w:rPr>
        <w:t>gestiones estatales, de forma tal que puedan cuestionar, indagar y considerar si se está dando un adecuado</w:t>
      </w:r>
      <w:r w:rsidRPr="004B6F21">
        <w:rPr>
          <w:rFonts w:ascii="Times New Roman" w:eastAsia="Times New Roman" w:hAnsi="Times New Roman" w:cs="Times New Roman"/>
          <w:i/>
          <w:iCs/>
          <w:kern w:val="2"/>
          <w:sz w:val="24"/>
          <w:szCs w:val="24"/>
          <w:lang w:val="es" w:eastAsia="es-AR" w:bidi="hi-IN"/>
        </w:rPr>
        <w:t xml:space="preserve"> </w:t>
      </w:r>
      <w:r w:rsidRPr="004B6F21">
        <w:rPr>
          <w:rFonts w:ascii="Times New Roman" w:eastAsia="Times New Roman" w:hAnsi="Times New Roman" w:cs="Times New Roman"/>
          <w:i/>
          <w:iCs/>
          <w:kern w:val="2"/>
          <w:sz w:val="24"/>
          <w:szCs w:val="24"/>
          <w:lang w:val="es-ES" w:eastAsia="es-AR" w:bidi="hi-IN"/>
        </w:rPr>
        <w:t>cumplimiento de las funciones públicas</w:t>
      </w:r>
      <w:r w:rsidRPr="004B6F21">
        <w:rPr>
          <w:rFonts w:ascii="Times New Roman" w:eastAsia="Times New Roman" w:hAnsi="Times New Roman" w:cs="Times New Roman"/>
          <w:kern w:val="2"/>
          <w:sz w:val="24"/>
          <w:szCs w:val="24"/>
          <w:lang w:val="es-ES" w:eastAsia="es-AR" w:bidi="hi-IN"/>
        </w:rPr>
        <w:t>” y que “</w:t>
      </w:r>
      <w:r w:rsidRPr="004B6F21">
        <w:rPr>
          <w:rFonts w:ascii="Times New Roman" w:eastAsia="Times New Roman" w:hAnsi="Times New Roman" w:cs="Times New Roman"/>
          <w:i/>
          <w:iCs/>
          <w:kern w:val="2"/>
          <w:sz w:val="24"/>
          <w:szCs w:val="24"/>
          <w:lang w:val="es-ES" w:eastAsia="es-AR" w:bidi="hi-IN"/>
        </w:rPr>
        <w:t>El control</w:t>
      </w:r>
      <w:r w:rsidRPr="004B6F21">
        <w:rPr>
          <w:rFonts w:ascii="Times New Roman" w:eastAsia="Times New Roman" w:hAnsi="Times New Roman" w:cs="Times New Roman"/>
          <w:i/>
          <w:iCs/>
          <w:kern w:val="2"/>
          <w:sz w:val="24"/>
          <w:szCs w:val="24"/>
          <w:lang w:val="es" w:eastAsia="es-AR" w:bidi="hi-IN"/>
        </w:rPr>
        <w:t xml:space="preserve"> </w:t>
      </w:r>
      <w:r w:rsidRPr="004B6F21">
        <w:rPr>
          <w:rFonts w:ascii="Times New Roman" w:eastAsia="Times New Roman" w:hAnsi="Times New Roman" w:cs="Times New Roman"/>
          <w:i/>
          <w:iCs/>
          <w:kern w:val="2"/>
          <w:sz w:val="24"/>
          <w:szCs w:val="24"/>
          <w:lang w:val="es-ES" w:eastAsia="es-AR" w:bidi="hi-IN"/>
        </w:rPr>
        <w:t>democrático, por parte de la sociedad a través de la opinión pública, fomenta la transparencia de las</w:t>
      </w:r>
      <w:r w:rsidRPr="004B6F21">
        <w:rPr>
          <w:rFonts w:ascii="Times New Roman" w:eastAsia="Times New Roman" w:hAnsi="Times New Roman" w:cs="Times New Roman"/>
          <w:i/>
          <w:iCs/>
          <w:kern w:val="2"/>
          <w:sz w:val="24"/>
          <w:szCs w:val="24"/>
          <w:lang w:val="es" w:eastAsia="es-AR" w:bidi="hi-IN"/>
        </w:rPr>
        <w:t xml:space="preserve"> </w:t>
      </w:r>
      <w:r w:rsidRPr="004B6F21">
        <w:rPr>
          <w:rFonts w:ascii="Times New Roman" w:eastAsia="Times New Roman" w:hAnsi="Times New Roman" w:cs="Times New Roman"/>
          <w:i/>
          <w:iCs/>
          <w:kern w:val="2"/>
          <w:sz w:val="24"/>
          <w:szCs w:val="24"/>
          <w:lang w:val="es-ES" w:eastAsia="es-AR" w:bidi="hi-IN"/>
        </w:rPr>
        <w:t>actividades estatales y promueve la responsabilidad de los funcionarios sobre su gestión pública. Por ello,</w:t>
      </w:r>
      <w:r w:rsidRPr="004B6F21">
        <w:rPr>
          <w:rFonts w:ascii="Times New Roman" w:eastAsia="Times New Roman" w:hAnsi="Times New Roman" w:cs="Times New Roman"/>
          <w:i/>
          <w:iCs/>
          <w:kern w:val="2"/>
          <w:sz w:val="24"/>
          <w:szCs w:val="24"/>
          <w:lang w:val="es" w:eastAsia="es-AR" w:bidi="hi-IN"/>
        </w:rPr>
        <w:t xml:space="preserve"> </w:t>
      </w:r>
      <w:r w:rsidRPr="004B6F21">
        <w:rPr>
          <w:rFonts w:ascii="Times New Roman" w:eastAsia="Times New Roman" w:hAnsi="Times New Roman" w:cs="Times New Roman"/>
          <w:i/>
          <w:iCs/>
          <w:kern w:val="2"/>
          <w:sz w:val="24"/>
          <w:szCs w:val="24"/>
          <w:lang w:val="es-ES" w:eastAsia="es-AR" w:bidi="hi-IN"/>
        </w:rPr>
        <w:t>para que las personas puedan ejercer el control democrático es esencial que el Estado garantice el acceso</w:t>
      </w:r>
      <w:r w:rsidRPr="004B6F21">
        <w:rPr>
          <w:rFonts w:ascii="Times New Roman" w:eastAsia="Times New Roman" w:hAnsi="Times New Roman" w:cs="Times New Roman"/>
          <w:i/>
          <w:iCs/>
          <w:kern w:val="2"/>
          <w:sz w:val="24"/>
          <w:szCs w:val="24"/>
          <w:lang w:val="es" w:eastAsia="es-AR" w:bidi="hi-IN"/>
        </w:rPr>
        <w:t xml:space="preserve"> </w:t>
      </w:r>
      <w:r w:rsidRPr="004B6F21">
        <w:rPr>
          <w:rFonts w:ascii="Times New Roman" w:eastAsia="Times New Roman" w:hAnsi="Times New Roman" w:cs="Times New Roman"/>
          <w:i/>
          <w:iCs/>
          <w:kern w:val="2"/>
          <w:sz w:val="24"/>
          <w:szCs w:val="24"/>
          <w:lang w:val="es-ES" w:eastAsia="es-AR" w:bidi="hi-IN"/>
        </w:rPr>
        <w:t>a la información de interés público bajo su control. Al permitir el ejercicio de ese control democrático se</w:t>
      </w:r>
      <w:r w:rsidRPr="004B6F21">
        <w:rPr>
          <w:rFonts w:ascii="Times New Roman" w:eastAsia="Times New Roman" w:hAnsi="Times New Roman" w:cs="Times New Roman"/>
          <w:i/>
          <w:iCs/>
          <w:kern w:val="2"/>
          <w:sz w:val="24"/>
          <w:szCs w:val="24"/>
          <w:lang w:val="es" w:eastAsia="es-AR" w:bidi="hi-IN"/>
        </w:rPr>
        <w:t xml:space="preserve"> </w:t>
      </w:r>
      <w:r w:rsidRPr="004B6F21">
        <w:rPr>
          <w:rFonts w:ascii="Times New Roman" w:eastAsia="Times New Roman" w:hAnsi="Times New Roman" w:cs="Times New Roman"/>
          <w:i/>
          <w:iCs/>
          <w:kern w:val="2"/>
          <w:sz w:val="24"/>
          <w:szCs w:val="24"/>
          <w:lang w:val="es-ES" w:eastAsia="es-AR" w:bidi="hi-IN"/>
        </w:rPr>
        <w:t>fomenta una mayor participación de las personas en los intereses de la sociedad</w:t>
      </w:r>
      <w:r w:rsidRPr="004B6F21">
        <w:rPr>
          <w:rFonts w:ascii="Times New Roman" w:eastAsia="Times New Roman" w:hAnsi="Times New Roman" w:cs="Times New Roman"/>
          <w:kern w:val="2"/>
          <w:sz w:val="24"/>
          <w:szCs w:val="24"/>
          <w:lang w:val="es-ES" w:eastAsia="es-AR" w:bidi="hi-IN"/>
        </w:rPr>
        <w:t>” para concluir que “</w:t>
      </w:r>
      <w:r w:rsidRPr="004B6F21">
        <w:rPr>
          <w:rFonts w:ascii="Times New Roman" w:eastAsia="Times New Roman" w:hAnsi="Times New Roman" w:cs="Times New Roman"/>
          <w:i/>
          <w:iCs/>
          <w:kern w:val="2"/>
          <w:sz w:val="24"/>
          <w:szCs w:val="24"/>
          <w:lang w:val="es-ES" w:eastAsia="es-AR" w:bidi="hi-IN"/>
        </w:rPr>
        <w:t>...</w:t>
      </w:r>
      <w:r w:rsidRPr="004B6F21">
        <w:rPr>
          <w:rFonts w:ascii="Times New Roman" w:eastAsia="Times New Roman" w:hAnsi="Times New Roman" w:cs="Times New Roman"/>
          <w:b/>
          <w:bCs/>
          <w:i/>
          <w:iCs/>
          <w:kern w:val="2"/>
          <w:sz w:val="24"/>
          <w:szCs w:val="24"/>
          <w:lang w:val="es-ES" w:eastAsia="es-AR" w:bidi="hi-IN"/>
        </w:rPr>
        <w:t>en una</w:t>
      </w:r>
      <w:r w:rsidRPr="004B6F21">
        <w:rPr>
          <w:rFonts w:ascii="Times New Roman" w:eastAsia="Times New Roman" w:hAnsi="Times New Roman" w:cs="Times New Roman"/>
          <w:b/>
          <w:bCs/>
          <w:i/>
          <w:iCs/>
          <w:kern w:val="2"/>
          <w:sz w:val="24"/>
          <w:szCs w:val="24"/>
          <w:lang w:val="es" w:eastAsia="es-AR" w:bidi="hi-IN"/>
        </w:rPr>
        <w:t xml:space="preserve"> </w:t>
      </w:r>
      <w:r w:rsidRPr="004B6F21">
        <w:rPr>
          <w:rFonts w:ascii="Times New Roman" w:eastAsia="Times New Roman" w:hAnsi="Times New Roman" w:cs="Times New Roman"/>
          <w:b/>
          <w:bCs/>
          <w:i/>
          <w:iCs/>
          <w:kern w:val="2"/>
          <w:sz w:val="24"/>
          <w:szCs w:val="24"/>
          <w:lang w:val="es-ES" w:eastAsia="es-AR" w:bidi="hi-IN"/>
        </w:rPr>
        <w:t>sociedad democrática es indispensable que las autoridades estatales se rijan por el principio de máxima</w:t>
      </w:r>
      <w:r w:rsidRPr="004B6F21">
        <w:rPr>
          <w:rFonts w:ascii="Times New Roman" w:eastAsia="Times New Roman" w:hAnsi="Times New Roman" w:cs="Times New Roman"/>
          <w:b/>
          <w:bCs/>
          <w:i/>
          <w:iCs/>
          <w:kern w:val="2"/>
          <w:sz w:val="24"/>
          <w:szCs w:val="24"/>
          <w:lang w:val="es" w:eastAsia="es-AR" w:bidi="hi-IN"/>
        </w:rPr>
        <w:t xml:space="preserve"> </w:t>
      </w:r>
      <w:r w:rsidRPr="004B6F21">
        <w:rPr>
          <w:rFonts w:ascii="Times New Roman" w:eastAsia="Times New Roman" w:hAnsi="Times New Roman" w:cs="Times New Roman"/>
          <w:b/>
          <w:bCs/>
          <w:i/>
          <w:iCs/>
          <w:kern w:val="2"/>
          <w:sz w:val="24"/>
          <w:szCs w:val="24"/>
          <w:lang w:val="es-ES" w:eastAsia="es-AR" w:bidi="hi-IN"/>
        </w:rPr>
        <w:t>divulgación</w:t>
      </w:r>
      <w:r w:rsidRPr="004B6F21">
        <w:rPr>
          <w:rFonts w:ascii="Times New Roman" w:eastAsia="Times New Roman" w:hAnsi="Times New Roman" w:cs="Times New Roman"/>
          <w:bCs/>
          <w:i/>
          <w:iCs/>
          <w:kern w:val="2"/>
          <w:sz w:val="24"/>
          <w:szCs w:val="24"/>
          <w:lang w:val="es-ES" w:eastAsia="es-AR" w:bidi="hi-IN"/>
        </w:rPr>
        <w:t>, el cual establece la presunción de que toda información es accesible, sujeto a un sistema</w:t>
      </w:r>
      <w:r w:rsidRPr="004B6F21">
        <w:rPr>
          <w:rFonts w:ascii="Times New Roman" w:eastAsia="Times New Roman" w:hAnsi="Times New Roman" w:cs="Times New Roman"/>
          <w:bCs/>
          <w:i/>
          <w:iCs/>
          <w:kern w:val="2"/>
          <w:sz w:val="24"/>
          <w:szCs w:val="24"/>
          <w:lang w:val="es" w:eastAsia="es-AR" w:bidi="hi-IN"/>
        </w:rPr>
        <w:t xml:space="preserve"> </w:t>
      </w:r>
      <w:r w:rsidRPr="004B6F21">
        <w:rPr>
          <w:rFonts w:ascii="Times New Roman" w:eastAsia="Times New Roman" w:hAnsi="Times New Roman" w:cs="Times New Roman"/>
          <w:bCs/>
          <w:i/>
          <w:iCs/>
          <w:kern w:val="2"/>
          <w:sz w:val="24"/>
          <w:szCs w:val="24"/>
          <w:lang w:val="es-ES" w:eastAsia="es-AR" w:bidi="hi-IN"/>
        </w:rPr>
        <w:t>restringido de excepciones</w:t>
      </w:r>
      <w:r w:rsidRPr="004B6F21">
        <w:rPr>
          <w:rFonts w:ascii="Times New Roman" w:eastAsia="Times New Roman" w:hAnsi="Times New Roman" w:cs="Times New Roman"/>
          <w:bCs/>
          <w:kern w:val="2"/>
          <w:sz w:val="24"/>
          <w:szCs w:val="24"/>
          <w:lang w:val="es-ES" w:eastAsia="es-AR" w:bidi="hi-IN"/>
        </w:rPr>
        <w:t>”</w:t>
      </w:r>
      <w:r w:rsidRPr="004B6F21">
        <w:rPr>
          <w:rFonts w:ascii="Times New Roman" w:eastAsia="Times New Roman" w:hAnsi="Times New Roman" w:cs="Times New Roman"/>
          <w:bCs/>
          <w:kern w:val="2"/>
          <w:sz w:val="24"/>
          <w:szCs w:val="24"/>
          <w:lang w:val="es" w:eastAsia="es-AR" w:bidi="hi-IN"/>
        </w:rPr>
        <w:t xml:space="preserve"> –énfasis agregado-</w:t>
      </w:r>
      <w:r w:rsidRPr="004B6F21">
        <w:rPr>
          <w:rFonts w:ascii="Times New Roman" w:eastAsia="Times New Roman" w:hAnsi="Times New Roman" w:cs="Times New Roman"/>
          <w:bCs/>
          <w:kern w:val="2"/>
          <w:sz w:val="24"/>
          <w:szCs w:val="24"/>
          <w:lang w:val="es-ES" w:eastAsia="es-AR" w:bidi="hi-IN"/>
        </w:rPr>
        <w:t>.</w:t>
      </w:r>
      <w:r w:rsidRPr="004B6F21">
        <w:rPr>
          <w:rFonts w:ascii="Times New Roman" w:eastAsia="Tahoma" w:hAnsi="Times New Roman" w:cs="Times New Roman"/>
          <w:kern w:val="2"/>
          <w:sz w:val="24"/>
          <w:szCs w:val="24"/>
          <w:lang w:val="es-ES" w:eastAsia="zh-CN" w:bidi="hi-IN"/>
        </w:rPr>
        <w:t xml:space="preserve"> </w:t>
      </w:r>
    </w:p>
    <w:p w:rsidR="004B6F21" w:rsidRPr="004B6F21" w:rsidRDefault="004B6F21" w:rsidP="004B6F21">
      <w:pPr>
        <w:suppressAutoHyphens/>
        <w:spacing w:after="0" w:line="360" w:lineRule="auto"/>
        <w:jc w:val="both"/>
        <w:rPr>
          <w:rFonts w:ascii="Times New Roman" w:eastAsia="Tahoma" w:hAnsi="Times New Roman" w:cs="Times New Roman"/>
          <w:kern w:val="2"/>
          <w:sz w:val="24"/>
          <w:szCs w:val="24"/>
          <w:lang w:val="es-ES" w:eastAsia="zh-CN" w:bidi="hi-IN"/>
        </w:rPr>
      </w:pPr>
      <w:r w:rsidRPr="004B6F21">
        <w:rPr>
          <w:rFonts w:ascii="Times New Roman" w:eastAsia="Tahoma" w:hAnsi="Times New Roman" w:cs="Times New Roman"/>
          <w:kern w:val="2"/>
          <w:sz w:val="24"/>
          <w:szCs w:val="24"/>
          <w:lang w:val="es-ES" w:eastAsia="zh-CN" w:bidi="hi-IN"/>
        </w:rPr>
        <w:lastRenderedPageBreak/>
        <w:t xml:space="preserve">En el presente proyecto, </w:t>
      </w:r>
      <w:r w:rsidR="008249D7" w:rsidRPr="004B6F21">
        <w:rPr>
          <w:rFonts w:ascii="Times New Roman" w:eastAsia="Tahoma" w:hAnsi="Times New Roman" w:cs="Times New Roman"/>
          <w:kern w:val="2"/>
          <w:sz w:val="24"/>
          <w:szCs w:val="24"/>
          <w:lang w:val="es-ES" w:eastAsia="zh-CN" w:bidi="hi-IN"/>
        </w:rPr>
        <w:t>así</w:t>
      </w:r>
      <w:r w:rsidRPr="004B6F21">
        <w:rPr>
          <w:rFonts w:ascii="Times New Roman" w:eastAsia="Tahoma" w:hAnsi="Times New Roman" w:cs="Times New Roman"/>
          <w:kern w:val="2"/>
          <w:sz w:val="24"/>
          <w:szCs w:val="24"/>
          <w:lang w:val="es-ES" w:eastAsia="zh-CN" w:bidi="hi-IN"/>
        </w:rPr>
        <w:t xml:space="preserve"> como avanza en transparentar la gestión pública y la ética de la responsabilidad, incorpora algún reparo o dique de contención para los abusos de poder incorporando la intimación. Los ya mencionados autores de Harvard Steven </w:t>
      </w:r>
      <w:proofErr w:type="spellStart"/>
      <w:r w:rsidRPr="004B6F21">
        <w:rPr>
          <w:rFonts w:ascii="Times New Roman" w:eastAsia="Tahoma" w:hAnsi="Times New Roman" w:cs="Times New Roman"/>
          <w:kern w:val="2"/>
          <w:sz w:val="24"/>
          <w:szCs w:val="24"/>
          <w:lang w:val="es-ES" w:eastAsia="zh-CN" w:bidi="hi-IN"/>
        </w:rPr>
        <w:t>Levitsky</w:t>
      </w:r>
      <w:proofErr w:type="spellEnd"/>
      <w:r w:rsidRPr="004B6F21">
        <w:rPr>
          <w:rFonts w:ascii="Times New Roman" w:eastAsia="Tahoma" w:hAnsi="Times New Roman" w:cs="Times New Roman"/>
          <w:kern w:val="2"/>
          <w:sz w:val="24"/>
          <w:szCs w:val="24"/>
          <w:lang w:val="es-ES" w:eastAsia="zh-CN" w:bidi="hi-IN"/>
        </w:rPr>
        <w:t xml:space="preserve"> y Daniel </w:t>
      </w:r>
      <w:proofErr w:type="spellStart"/>
      <w:r w:rsidRPr="004B6F21">
        <w:rPr>
          <w:rFonts w:ascii="Times New Roman" w:eastAsia="Tahoma" w:hAnsi="Times New Roman" w:cs="Times New Roman"/>
          <w:kern w:val="2"/>
          <w:sz w:val="24"/>
          <w:szCs w:val="24"/>
          <w:lang w:val="es-ES" w:eastAsia="zh-CN" w:bidi="hi-IN"/>
        </w:rPr>
        <w:t>Ziblatt</w:t>
      </w:r>
      <w:proofErr w:type="spellEnd"/>
      <w:r w:rsidRPr="004B6F21">
        <w:rPr>
          <w:rFonts w:ascii="Times New Roman" w:eastAsia="Tahoma" w:hAnsi="Times New Roman" w:cs="Times New Roman"/>
          <w:kern w:val="2"/>
          <w:sz w:val="24"/>
          <w:szCs w:val="24"/>
          <w:lang w:val="es-ES" w:eastAsia="zh-CN" w:bidi="hi-IN"/>
        </w:rPr>
        <w:t xml:space="preserve"> refieren a “tácticas duras constituciones”, las que definen como “</w:t>
      </w:r>
      <w:r w:rsidRPr="004B6F21">
        <w:rPr>
          <w:rFonts w:ascii="Times New Roman" w:eastAsia="Tahoma" w:hAnsi="Times New Roman" w:cs="Times New Roman"/>
          <w:i/>
          <w:iCs/>
          <w:kern w:val="2"/>
          <w:sz w:val="24"/>
          <w:szCs w:val="24"/>
          <w:lang w:val="es-ES" w:eastAsia="zh-CN" w:bidi="hi-IN"/>
        </w:rPr>
        <w:t xml:space="preserve">...jugar según las </w:t>
      </w:r>
      <w:proofErr w:type="gramStart"/>
      <w:r w:rsidRPr="004B6F21">
        <w:rPr>
          <w:rFonts w:ascii="Times New Roman" w:eastAsia="Tahoma" w:hAnsi="Times New Roman" w:cs="Times New Roman"/>
          <w:i/>
          <w:iCs/>
          <w:kern w:val="2"/>
          <w:sz w:val="24"/>
          <w:szCs w:val="24"/>
          <w:lang w:val="es-ES" w:eastAsia="zh-CN" w:bidi="hi-IN"/>
        </w:rPr>
        <w:t>normas</w:t>
      </w:r>
      <w:proofErr w:type="gramEnd"/>
      <w:r w:rsidRPr="004B6F21">
        <w:rPr>
          <w:rFonts w:ascii="Times New Roman" w:eastAsia="Tahoma" w:hAnsi="Times New Roman" w:cs="Times New Roman"/>
          <w:i/>
          <w:iCs/>
          <w:kern w:val="2"/>
          <w:sz w:val="24"/>
          <w:szCs w:val="24"/>
          <w:lang w:val="es-ES" w:eastAsia="zh-CN" w:bidi="hi-IN"/>
        </w:rPr>
        <w:t xml:space="preserve"> pero intentando ensanchas sus límites y “jugar para ganar”. Se trata de una forma de combate institucional destinado a derrotar de manera permanente a los </w:t>
      </w:r>
      <w:proofErr w:type="gramStart"/>
      <w:r w:rsidRPr="004B6F21">
        <w:rPr>
          <w:rFonts w:ascii="Times New Roman" w:eastAsia="Tahoma" w:hAnsi="Times New Roman" w:cs="Times New Roman"/>
          <w:i/>
          <w:iCs/>
          <w:kern w:val="2"/>
          <w:sz w:val="24"/>
          <w:szCs w:val="24"/>
          <w:lang w:val="es-ES" w:eastAsia="zh-CN" w:bidi="hi-IN"/>
        </w:rPr>
        <w:t>contendientes  …</w:t>
      </w:r>
      <w:proofErr w:type="gramEnd"/>
      <w:r w:rsidRPr="004B6F21">
        <w:rPr>
          <w:rFonts w:ascii="Times New Roman" w:eastAsia="Tahoma" w:hAnsi="Times New Roman" w:cs="Times New Roman"/>
          <w:i/>
          <w:iCs/>
          <w:kern w:val="2"/>
          <w:sz w:val="24"/>
          <w:szCs w:val="24"/>
          <w:lang w:val="es-ES" w:eastAsia="zh-CN" w:bidi="hi-IN"/>
        </w:rPr>
        <w:t xml:space="preserve"> sin preocuparse por la continuidad del juego democrático</w:t>
      </w:r>
      <w:r w:rsidRPr="004B6F21">
        <w:rPr>
          <w:rFonts w:ascii="Times New Roman" w:eastAsia="Tahoma" w:hAnsi="Times New Roman" w:cs="Times New Roman"/>
          <w:kern w:val="2"/>
          <w:sz w:val="24"/>
          <w:szCs w:val="24"/>
          <w:lang w:val="es-ES" w:eastAsia="zh-CN" w:bidi="hi-IN"/>
        </w:rPr>
        <w:t>”.</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r w:rsidRPr="004B6F21">
        <w:rPr>
          <w:rFonts w:ascii="Times New Roman" w:eastAsia="Tahoma" w:hAnsi="Times New Roman" w:cs="Times New Roman"/>
          <w:kern w:val="2"/>
          <w:sz w:val="24"/>
          <w:szCs w:val="24"/>
          <w:lang w:val="es-ES" w:eastAsia="zh-CN" w:bidi="hi-IN"/>
        </w:rPr>
        <w:t>Por ello, en el entendimiento que debemos actualizar el régimen de declaraciones patrimoniales y atender las demandas sociales, es que proponemos a esta legislatura acompañen el presente proyecto.</w:t>
      </w:r>
    </w:p>
    <w:p w:rsidR="004B6F21" w:rsidRPr="004B6F21" w:rsidRDefault="004B6F21" w:rsidP="004B6F21">
      <w:pPr>
        <w:suppressAutoHyphens/>
        <w:spacing w:after="0" w:line="360" w:lineRule="auto"/>
        <w:jc w:val="both"/>
        <w:rPr>
          <w:rFonts w:ascii="Times New Roman" w:eastAsia="NSimSun" w:hAnsi="Times New Roman" w:cs="Times New Roman"/>
          <w:kern w:val="2"/>
          <w:sz w:val="24"/>
          <w:szCs w:val="24"/>
          <w:lang w:val="es-AR" w:eastAsia="zh-CN" w:bidi="hi-IN"/>
        </w:rPr>
      </w:pPr>
    </w:p>
    <w:p w:rsidR="004B6F21" w:rsidRPr="004B6F21" w:rsidRDefault="004B6F21" w:rsidP="004B6F21">
      <w:pPr>
        <w:spacing w:after="0" w:line="276" w:lineRule="auto"/>
        <w:jc w:val="center"/>
        <w:rPr>
          <w:rFonts w:ascii="Times New Roman" w:hAnsi="Times New Roman" w:cs="Times New Roman"/>
          <w:b/>
          <w:sz w:val="24"/>
          <w:szCs w:val="24"/>
          <w:lang w:val="es-AR"/>
        </w:rPr>
      </w:pPr>
    </w:p>
    <w:p w:rsidR="00381439" w:rsidRPr="004B6F21" w:rsidRDefault="00803349" w:rsidP="009B650F">
      <w:pPr>
        <w:spacing w:line="276" w:lineRule="auto"/>
        <w:jc w:val="both"/>
        <w:rPr>
          <w:rFonts w:ascii="Times New Roman" w:hAnsi="Times New Roman" w:cs="Times New Roman"/>
          <w:sz w:val="24"/>
          <w:szCs w:val="24"/>
          <w:lang w:val="es-ES"/>
        </w:rPr>
      </w:pPr>
    </w:p>
    <w:sectPr w:rsidR="00381439" w:rsidRPr="004B6F2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349" w:rsidRDefault="00803349" w:rsidP="00B96770">
      <w:pPr>
        <w:spacing w:after="0" w:line="240" w:lineRule="auto"/>
      </w:pPr>
      <w:r>
        <w:separator/>
      </w:r>
    </w:p>
  </w:endnote>
  <w:endnote w:type="continuationSeparator" w:id="0">
    <w:p w:rsidR="00803349" w:rsidRDefault="00803349" w:rsidP="00B9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349" w:rsidRDefault="00803349" w:rsidP="00B96770">
      <w:pPr>
        <w:spacing w:after="0" w:line="240" w:lineRule="auto"/>
      </w:pPr>
      <w:r>
        <w:separator/>
      </w:r>
    </w:p>
  </w:footnote>
  <w:footnote w:type="continuationSeparator" w:id="0">
    <w:p w:rsidR="00803349" w:rsidRDefault="00803349" w:rsidP="00B96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70" w:rsidRDefault="00B96770" w:rsidP="00B96770">
    <w:pPr>
      <w:pStyle w:val="Encabezado"/>
      <w:jc w:val="center"/>
    </w:pPr>
    <w:r>
      <w:rPr>
        <w:noProof/>
      </w:rPr>
      <w:drawing>
        <wp:inline distT="0" distB="0" distL="0" distR="0" wp14:anchorId="5B293C51">
          <wp:extent cx="3209925" cy="775093"/>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896" cy="783537"/>
                  </a:xfrm>
                  <a:prstGeom prst="rect">
                    <a:avLst/>
                  </a:prstGeom>
                  <a:noFill/>
                </pic:spPr>
              </pic:pic>
            </a:graphicData>
          </a:graphic>
        </wp:inline>
      </w:drawing>
    </w:r>
  </w:p>
  <w:p w:rsidR="00B96770" w:rsidRDefault="00B96770" w:rsidP="00B96770">
    <w:pPr>
      <w:pStyle w:val="Encabezado"/>
      <w:jc w:val="center"/>
    </w:pPr>
  </w:p>
  <w:p w:rsidR="00B96770" w:rsidRDefault="00B96770" w:rsidP="00B96770">
    <w:pPr>
      <w:pStyle w:val="Encabezado"/>
      <w:jc w:val="center"/>
    </w:pPr>
    <w:r>
      <w:rPr>
        <w:rStyle w:val="Ninguno"/>
        <w:noProof/>
      </w:rPr>
      <w:drawing>
        <wp:inline distT="0" distB="0" distL="0" distR="0" wp14:anchorId="0D110B08" wp14:editId="61E0E288">
          <wp:extent cx="5124450" cy="9188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57852" cy="924808"/>
                  </a:xfrm>
                  <a:prstGeom prst="rect">
                    <a:avLst/>
                  </a:prstGeom>
                  <a:noFill/>
                </pic:spPr>
              </pic:pic>
            </a:graphicData>
          </a:graphic>
        </wp:inline>
      </w:drawing>
    </w:r>
  </w:p>
  <w:p w:rsidR="00B96770" w:rsidRDefault="00B96770" w:rsidP="00B9677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0F"/>
    <w:rsid w:val="00062825"/>
    <w:rsid w:val="00335377"/>
    <w:rsid w:val="003B105C"/>
    <w:rsid w:val="00463F2E"/>
    <w:rsid w:val="00482A16"/>
    <w:rsid w:val="004B6F21"/>
    <w:rsid w:val="00665A30"/>
    <w:rsid w:val="007742E1"/>
    <w:rsid w:val="00803349"/>
    <w:rsid w:val="008249D7"/>
    <w:rsid w:val="00944119"/>
    <w:rsid w:val="009B650F"/>
    <w:rsid w:val="00AE7F28"/>
    <w:rsid w:val="00B23577"/>
    <w:rsid w:val="00B75550"/>
    <w:rsid w:val="00B96770"/>
    <w:rsid w:val="00D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1EBB0"/>
  <w15:chartTrackingRefBased/>
  <w15:docId w15:val="{4FEBD458-DB30-4533-AB46-C88E5FC1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67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6770"/>
  </w:style>
  <w:style w:type="paragraph" w:styleId="Piedepgina">
    <w:name w:val="footer"/>
    <w:basedOn w:val="Normal"/>
    <w:link w:val="PiedepginaCar"/>
    <w:uiPriority w:val="99"/>
    <w:unhideWhenUsed/>
    <w:rsid w:val="00B967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6770"/>
  </w:style>
  <w:style w:type="character" w:customStyle="1" w:styleId="Ninguno">
    <w:name w:val="Ninguno"/>
    <w:rsid w:val="00B96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2656</Words>
  <Characters>15145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Jorge</cp:lastModifiedBy>
  <cp:revision>7</cp:revision>
  <dcterms:created xsi:type="dcterms:W3CDTF">2026-05-11T14:45:00Z</dcterms:created>
  <dcterms:modified xsi:type="dcterms:W3CDTF">2026-05-13T15:07:00Z</dcterms:modified>
</cp:coreProperties>
</file>